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DEDC8" w14:textId="77777777" w:rsidR="00B7037D" w:rsidRDefault="006E772F" w:rsidP="006E772F">
      <w:r>
        <w:tab/>
      </w:r>
      <w:r>
        <w:tab/>
      </w:r>
      <w:r>
        <w:tab/>
      </w:r>
      <w:r>
        <w:tab/>
      </w:r>
      <w:r>
        <w:tab/>
      </w:r>
      <w:r>
        <w:tab/>
      </w:r>
      <w:r>
        <w:tab/>
      </w:r>
      <w:r>
        <w:tab/>
      </w:r>
      <w:r>
        <w:tab/>
      </w:r>
      <w:r>
        <w:tab/>
      </w:r>
      <w:r w:rsidR="002571CD">
        <w:rPr>
          <w:noProof/>
        </w:rPr>
        <w:drawing>
          <wp:inline distT="0" distB="0" distL="0" distR="0" wp14:anchorId="558A6C68" wp14:editId="3A6DC060">
            <wp:extent cx="82867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42E7E354" w14:textId="77777777" w:rsidR="00B7037D" w:rsidRPr="00E228A4" w:rsidRDefault="006724F3" w:rsidP="00E228A4">
      <w:pPr>
        <w:jc w:val="center"/>
      </w:pPr>
      <w:r>
        <w:t>SCHEDULE 2 – THE SERVICES</w:t>
      </w:r>
    </w:p>
    <w:p w14:paraId="5508E6E7" w14:textId="77777777" w:rsidR="00B7037D" w:rsidRPr="006724F3" w:rsidRDefault="00B7037D" w:rsidP="006724F3">
      <w:pPr>
        <w:pStyle w:val="ListParagraph"/>
        <w:numPr>
          <w:ilvl w:val="0"/>
          <w:numId w:val="2"/>
        </w:numPr>
        <w:tabs>
          <w:tab w:val="left" w:pos="426"/>
        </w:tabs>
        <w:ind w:left="0" w:firstLine="0"/>
        <w:outlineLvl w:val="1"/>
        <w:rPr>
          <w:rFonts w:cs="Arial"/>
          <w:b/>
          <w:color w:val="C0504D"/>
          <w:sz w:val="28"/>
        </w:rPr>
      </w:pPr>
      <w:bookmarkStart w:id="0" w:name="_Toc343591382"/>
      <w:bookmarkStart w:id="1" w:name="_Toc463207180"/>
      <w:bookmarkStart w:id="2" w:name="_Toc463209247"/>
      <w:bookmarkStart w:id="3" w:name="_Toc463258886"/>
      <w:bookmarkStart w:id="4" w:name="_Toc463289830"/>
      <w:bookmarkStart w:id="5" w:name="_Toc463290779"/>
      <w:bookmarkStart w:id="6" w:name="_Toc463340419"/>
      <w:bookmarkStart w:id="7" w:name="_Toc463963977"/>
      <w:r w:rsidRPr="00EC05BD">
        <w:rPr>
          <w:rFonts w:cs="Arial"/>
          <w:b/>
          <w:color w:val="C0504D"/>
          <w:sz w:val="28"/>
        </w:rPr>
        <w:t>Service Specifications</w:t>
      </w:r>
      <w:bookmarkEnd w:id="0"/>
      <w:bookmarkEnd w:id="1"/>
      <w:bookmarkEnd w:id="2"/>
      <w:bookmarkEnd w:id="3"/>
      <w:bookmarkEnd w:id="4"/>
      <w:bookmarkEnd w:id="5"/>
      <w:bookmarkEnd w:id="6"/>
      <w:bookmarkEnd w:id="7"/>
    </w:p>
    <w:p w14:paraId="518F2081" w14:textId="77777777" w:rsidR="00B7037D" w:rsidRDefault="00B7037D" w:rsidP="00B7037D">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077"/>
      </w:tblGrid>
      <w:tr w:rsidR="00B7037D" w:rsidRPr="00DF4267" w14:paraId="48FB268E" w14:textId="77777777" w:rsidTr="00FD5F32">
        <w:trPr>
          <w:trHeight w:val="1090"/>
        </w:trPr>
        <w:tc>
          <w:tcPr>
            <w:tcW w:w="2835" w:type="dxa"/>
            <w:shd w:val="clear" w:color="auto" w:fill="auto"/>
          </w:tcPr>
          <w:p w14:paraId="7ADEE6FA" w14:textId="77777777" w:rsidR="00B7037D" w:rsidRPr="00DE7DE1" w:rsidRDefault="00B7037D" w:rsidP="00FD5F32">
            <w:pPr>
              <w:spacing w:before="240" w:line="360" w:lineRule="auto"/>
              <w:rPr>
                <w:rFonts w:cs="Arial"/>
                <w:b/>
                <w:szCs w:val="24"/>
              </w:rPr>
            </w:pPr>
            <w:r w:rsidRPr="00DE7DE1">
              <w:rPr>
                <w:rFonts w:cs="Arial"/>
                <w:b/>
                <w:szCs w:val="24"/>
              </w:rPr>
              <w:t>Service Specification No:</w:t>
            </w:r>
          </w:p>
        </w:tc>
        <w:tc>
          <w:tcPr>
            <w:tcW w:w="6096" w:type="dxa"/>
            <w:shd w:val="clear" w:color="auto" w:fill="auto"/>
          </w:tcPr>
          <w:p w14:paraId="544FF729" w14:textId="77777777" w:rsidR="00B7037D" w:rsidRPr="00DE7DE1" w:rsidRDefault="00B7037D" w:rsidP="00FD5F32">
            <w:pPr>
              <w:rPr>
                <w:rFonts w:cs="Arial"/>
                <w:szCs w:val="24"/>
              </w:rPr>
            </w:pPr>
          </w:p>
          <w:p w14:paraId="1AC9C0EE" w14:textId="77777777" w:rsidR="006724F3" w:rsidRPr="00DE7DE1" w:rsidRDefault="00A32E63" w:rsidP="00FD5F32">
            <w:pPr>
              <w:rPr>
                <w:rFonts w:cs="Arial"/>
                <w:szCs w:val="24"/>
              </w:rPr>
            </w:pPr>
            <w:r w:rsidRPr="00DE7DE1">
              <w:rPr>
                <w:rFonts w:cs="Arial"/>
                <w:szCs w:val="24"/>
              </w:rPr>
              <w:t>1719</w:t>
            </w:r>
          </w:p>
        </w:tc>
      </w:tr>
      <w:tr w:rsidR="00B7037D" w:rsidRPr="00DF4267" w14:paraId="6EA40F11" w14:textId="77777777" w:rsidTr="00FD5F32">
        <w:trPr>
          <w:trHeight w:val="679"/>
        </w:trPr>
        <w:tc>
          <w:tcPr>
            <w:tcW w:w="2835" w:type="dxa"/>
            <w:shd w:val="clear" w:color="auto" w:fill="auto"/>
          </w:tcPr>
          <w:p w14:paraId="6602E2FC" w14:textId="77777777" w:rsidR="00B7037D" w:rsidRPr="00DE7DE1" w:rsidRDefault="00B7037D" w:rsidP="00FD5F32">
            <w:pPr>
              <w:spacing w:before="240" w:line="360" w:lineRule="auto"/>
              <w:rPr>
                <w:rFonts w:cs="Arial"/>
                <w:b/>
                <w:szCs w:val="24"/>
              </w:rPr>
            </w:pPr>
            <w:r w:rsidRPr="00DE7DE1">
              <w:rPr>
                <w:rFonts w:cs="Arial"/>
                <w:b/>
                <w:szCs w:val="24"/>
              </w:rPr>
              <w:t>Service</w:t>
            </w:r>
          </w:p>
        </w:tc>
        <w:tc>
          <w:tcPr>
            <w:tcW w:w="6096" w:type="dxa"/>
            <w:shd w:val="clear" w:color="auto" w:fill="auto"/>
          </w:tcPr>
          <w:p w14:paraId="17CACFBE" w14:textId="77777777" w:rsidR="003C2102" w:rsidRPr="00DE7DE1" w:rsidRDefault="003C2102" w:rsidP="00FD5F32">
            <w:pPr>
              <w:rPr>
                <w:rFonts w:cs="Arial"/>
                <w:szCs w:val="24"/>
              </w:rPr>
            </w:pPr>
          </w:p>
          <w:p w14:paraId="5A90589B" w14:textId="77777777" w:rsidR="00B7037D" w:rsidRPr="00DE7DE1" w:rsidRDefault="003C2102" w:rsidP="009B651E">
            <w:pPr>
              <w:rPr>
                <w:rFonts w:cs="Arial"/>
                <w:szCs w:val="24"/>
              </w:rPr>
            </w:pPr>
            <w:r w:rsidRPr="00DE7DE1">
              <w:rPr>
                <w:rFonts w:cs="Arial"/>
                <w:szCs w:val="24"/>
              </w:rPr>
              <w:t>Gender Identity Services</w:t>
            </w:r>
            <w:r w:rsidR="00A8689D" w:rsidRPr="00DE7DE1">
              <w:rPr>
                <w:rFonts w:cs="Arial"/>
                <w:szCs w:val="24"/>
              </w:rPr>
              <w:t xml:space="preserve"> for Adults (Non-S</w:t>
            </w:r>
            <w:r w:rsidRPr="00DE7DE1">
              <w:rPr>
                <w:rFonts w:cs="Arial"/>
                <w:szCs w:val="24"/>
              </w:rPr>
              <w:t>urgical</w:t>
            </w:r>
            <w:r w:rsidR="00A8689D" w:rsidRPr="00DE7DE1">
              <w:rPr>
                <w:rFonts w:cs="Arial"/>
                <w:szCs w:val="24"/>
              </w:rPr>
              <w:t xml:space="preserve"> Interventions</w:t>
            </w:r>
            <w:r w:rsidRPr="00DE7DE1">
              <w:rPr>
                <w:rFonts w:cs="Arial"/>
                <w:szCs w:val="24"/>
              </w:rPr>
              <w:t>)</w:t>
            </w:r>
          </w:p>
        </w:tc>
      </w:tr>
      <w:tr w:rsidR="00B7037D" w:rsidRPr="00DF4267" w14:paraId="74D4401E" w14:textId="77777777" w:rsidTr="00FD5F32">
        <w:trPr>
          <w:trHeight w:val="858"/>
        </w:trPr>
        <w:tc>
          <w:tcPr>
            <w:tcW w:w="2835" w:type="dxa"/>
            <w:shd w:val="clear" w:color="auto" w:fill="auto"/>
          </w:tcPr>
          <w:p w14:paraId="26E2FA6F" w14:textId="77777777" w:rsidR="00B7037D" w:rsidRPr="00DE7DE1" w:rsidRDefault="00B7037D" w:rsidP="00FD5F32">
            <w:pPr>
              <w:spacing w:before="240" w:line="360" w:lineRule="auto"/>
              <w:rPr>
                <w:rFonts w:cs="Arial"/>
                <w:b/>
                <w:szCs w:val="24"/>
              </w:rPr>
            </w:pPr>
            <w:r w:rsidRPr="00DE7DE1">
              <w:rPr>
                <w:rFonts w:cs="Arial"/>
                <w:b/>
                <w:szCs w:val="24"/>
              </w:rPr>
              <w:t>Commissioner Lead</w:t>
            </w:r>
          </w:p>
        </w:tc>
        <w:tc>
          <w:tcPr>
            <w:tcW w:w="6096" w:type="dxa"/>
            <w:shd w:val="clear" w:color="auto" w:fill="auto"/>
          </w:tcPr>
          <w:p w14:paraId="6CAE4685" w14:textId="77777777" w:rsidR="00B7037D" w:rsidRPr="00DE7DE1" w:rsidRDefault="00B7037D" w:rsidP="00FD5F32">
            <w:pPr>
              <w:spacing w:before="240"/>
              <w:rPr>
                <w:rFonts w:cs="Arial"/>
                <w:i/>
                <w:szCs w:val="24"/>
              </w:rPr>
            </w:pPr>
            <w:r w:rsidRPr="00DE7DE1">
              <w:rPr>
                <w:rFonts w:cs="Arial"/>
                <w:i/>
                <w:szCs w:val="24"/>
              </w:rPr>
              <w:t>For local completion</w:t>
            </w:r>
          </w:p>
        </w:tc>
      </w:tr>
      <w:tr w:rsidR="00B7037D" w:rsidRPr="00DF4267" w14:paraId="22421539" w14:textId="77777777" w:rsidTr="00FD5F32">
        <w:trPr>
          <w:trHeight w:val="679"/>
        </w:trPr>
        <w:tc>
          <w:tcPr>
            <w:tcW w:w="2835" w:type="dxa"/>
            <w:shd w:val="clear" w:color="auto" w:fill="auto"/>
          </w:tcPr>
          <w:p w14:paraId="0DACBD02" w14:textId="77777777" w:rsidR="00B7037D" w:rsidRPr="00DE7DE1" w:rsidRDefault="00B7037D" w:rsidP="00FD5F32">
            <w:pPr>
              <w:spacing w:before="240" w:line="360" w:lineRule="auto"/>
              <w:rPr>
                <w:rFonts w:cs="Arial"/>
                <w:b/>
                <w:szCs w:val="24"/>
              </w:rPr>
            </w:pPr>
            <w:r w:rsidRPr="00DE7DE1">
              <w:rPr>
                <w:rFonts w:cs="Arial"/>
                <w:b/>
                <w:szCs w:val="24"/>
              </w:rPr>
              <w:t>Provider Lead</w:t>
            </w:r>
          </w:p>
        </w:tc>
        <w:tc>
          <w:tcPr>
            <w:tcW w:w="6096" w:type="dxa"/>
            <w:shd w:val="clear" w:color="auto" w:fill="auto"/>
          </w:tcPr>
          <w:p w14:paraId="36DB9DD0" w14:textId="77777777" w:rsidR="00B7037D" w:rsidRPr="00DE7DE1" w:rsidRDefault="00B7037D" w:rsidP="00FD5F32">
            <w:pPr>
              <w:spacing w:before="240"/>
              <w:rPr>
                <w:rFonts w:cs="Arial"/>
                <w:i/>
                <w:szCs w:val="24"/>
              </w:rPr>
            </w:pPr>
            <w:r w:rsidRPr="00DE7DE1">
              <w:rPr>
                <w:rFonts w:cs="Arial"/>
                <w:i/>
                <w:szCs w:val="24"/>
              </w:rPr>
              <w:t>For local completion</w:t>
            </w:r>
          </w:p>
        </w:tc>
      </w:tr>
    </w:tbl>
    <w:p w14:paraId="5C34EB52" w14:textId="77777777" w:rsidR="00B7037D" w:rsidRPr="00E436D2" w:rsidRDefault="00B7037D" w:rsidP="00B7037D">
      <w:pPr>
        <w:jc w:val="cente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7037D" w:rsidRPr="00B5552C" w14:paraId="2F9A1071" w14:textId="77777777" w:rsidTr="00FA2B91">
        <w:tc>
          <w:tcPr>
            <w:tcW w:w="8908" w:type="dxa"/>
            <w:shd w:val="clear" w:color="auto" w:fill="C4BC96"/>
          </w:tcPr>
          <w:p w14:paraId="75348ACB" w14:textId="77777777" w:rsidR="00B7037D" w:rsidRDefault="00B7037D" w:rsidP="005D7734">
            <w:pPr>
              <w:tabs>
                <w:tab w:val="left" w:pos="747"/>
              </w:tabs>
              <w:rPr>
                <w:rFonts w:cs="Arial"/>
                <w:b/>
              </w:rPr>
            </w:pPr>
            <w:r>
              <w:rPr>
                <w:rFonts w:cs="Arial"/>
                <w:b/>
              </w:rPr>
              <w:t>Scope</w:t>
            </w:r>
          </w:p>
          <w:p w14:paraId="7BBD7E0F" w14:textId="77777777" w:rsidR="001D219E" w:rsidRPr="00B5552C" w:rsidRDefault="001D219E" w:rsidP="001D219E">
            <w:pPr>
              <w:tabs>
                <w:tab w:val="left" w:pos="747"/>
              </w:tabs>
              <w:ind w:left="744"/>
              <w:rPr>
                <w:rFonts w:cs="Arial"/>
                <w:b/>
                <w:color w:val="F79646"/>
              </w:rPr>
            </w:pPr>
          </w:p>
        </w:tc>
      </w:tr>
      <w:tr w:rsidR="00B7037D" w:rsidRPr="00CB26F8" w14:paraId="16872C20" w14:textId="77777777" w:rsidTr="00FA2B91">
        <w:tc>
          <w:tcPr>
            <w:tcW w:w="8908" w:type="dxa"/>
            <w:shd w:val="clear" w:color="auto" w:fill="auto"/>
          </w:tcPr>
          <w:p w14:paraId="447596CB" w14:textId="77777777" w:rsidR="00B7037D" w:rsidRPr="00CB26F8" w:rsidRDefault="00B7037D" w:rsidP="00F14C7F">
            <w:pPr>
              <w:spacing w:after="120"/>
              <w:rPr>
                <w:rFonts w:cs="Arial"/>
                <w:color w:val="1F497D"/>
                <w:szCs w:val="24"/>
              </w:rPr>
            </w:pPr>
          </w:p>
          <w:p w14:paraId="704341FB" w14:textId="77777777" w:rsidR="005D7734" w:rsidRDefault="00B7037D" w:rsidP="005D7734">
            <w:pPr>
              <w:spacing w:after="120"/>
              <w:rPr>
                <w:rFonts w:cs="Arial"/>
                <w:bCs w:val="0"/>
                <w:szCs w:val="24"/>
              </w:rPr>
            </w:pPr>
            <w:r w:rsidRPr="005D7734">
              <w:rPr>
                <w:rFonts w:cs="Arial"/>
                <w:b/>
                <w:szCs w:val="24"/>
              </w:rPr>
              <w:t xml:space="preserve">Prescribed Specialised </w:t>
            </w:r>
            <w:r w:rsidRPr="00FA2B91">
              <w:rPr>
                <w:rFonts w:cs="Arial"/>
                <w:b/>
                <w:szCs w:val="24"/>
              </w:rPr>
              <w:t>Service</w:t>
            </w:r>
          </w:p>
          <w:p w14:paraId="1519D751" w14:textId="2052C176" w:rsidR="005D7734" w:rsidRPr="005D7734" w:rsidRDefault="00B7037D" w:rsidP="005D7734">
            <w:pPr>
              <w:pStyle w:val="ListParagraph"/>
              <w:numPr>
                <w:ilvl w:val="0"/>
                <w:numId w:val="38"/>
              </w:numPr>
              <w:spacing w:after="120"/>
              <w:ind w:left="360"/>
              <w:rPr>
                <w:rFonts w:cs="Arial"/>
                <w:b/>
                <w:szCs w:val="24"/>
              </w:rPr>
            </w:pPr>
            <w:r w:rsidRPr="005D7734">
              <w:rPr>
                <w:rFonts w:cs="Arial"/>
                <w:bCs w:val="0"/>
                <w:szCs w:val="24"/>
              </w:rPr>
              <w:t>This</w:t>
            </w:r>
            <w:r w:rsidRPr="005D7734">
              <w:rPr>
                <w:rFonts w:cs="Arial"/>
                <w:szCs w:val="24"/>
              </w:rPr>
              <w:t xml:space="preserve"> service specification covers the provision of</w:t>
            </w:r>
            <w:r w:rsidRPr="005D7734">
              <w:rPr>
                <w:rFonts w:cs="Arial"/>
                <w:color w:val="1F497D"/>
                <w:szCs w:val="24"/>
              </w:rPr>
              <w:t xml:space="preserve"> </w:t>
            </w:r>
            <w:r w:rsidR="003C2102" w:rsidRPr="005D7734">
              <w:rPr>
                <w:rFonts w:cs="Arial"/>
                <w:szCs w:val="24"/>
              </w:rPr>
              <w:t>non-surgical</w:t>
            </w:r>
            <w:r w:rsidR="003C2102" w:rsidRPr="005D7734">
              <w:rPr>
                <w:rFonts w:cs="Arial"/>
                <w:color w:val="1F497D"/>
                <w:szCs w:val="24"/>
              </w:rPr>
              <w:t xml:space="preserve"> </w:t>
            </w:r>
            <w:r w:rsidR="003C2102" w:rsidRPr="005D7734">
              <w:rPr>
                <w:rFonts w:cs="Arial"/>
                <w:szCs w:val="24"/>
              </w:rPr>
              <w:t>Gender Identity Services for adults</w:t>
            </w:r>
            <w:r w:rsidR="004951FD" w:rsidRPr="005D7734">
              <w:rPr>
                <w:rFonts w:cs="Arial"/>
                <w:szCs w:val="24"/>
              </w:rPr>
              <w:t xml:space="preserve"> that are prescribed as specialised services</w:t>
            </w:r>
            <w:r w:rsidR="003C2102" w:rsidRPr="005D7734">
              <w:rPr>
                <w:rFonts w:cs="Arial"/>
                <w:szCs w:val="24"/>
              </w:rPr>
              <w:t>.</w:t>
            </w:r>
            <w:r w:rsidR="00A8689D" w:rsidRPr="005D7734">
              <w:rPr>
                <w:rFonts w:cs="Arial"/>
                <w:szCs w:val="24"/>
              </w:rPr>
              <w:t xml:space="preserve"> This document should be read in conjunction with NHS England’s service specification for Gender Identity Services for Adults (Surgical Interventions).</w:t>
            </w:r>
          </w:p>
          <w:p w14:paraId="637E9273" w14:textId="77777777" w:rsidR="00F14C7F" w:rsidRPr="005D7734" w:rsidRDefault="00B7037D" w:rsidP="005D7734">
            <w:pPr>
              <w:spacing w:after="120"/>
              <w:rPr>
                <w:rFonts w:cs="Arial"/>
                <w:b/>
                <w:szCs w:val="24"/>
              </w:rPr>
            </w:pPr>
            <w:r w:rsidRPr="005D7734">
              <w:rPr>
                <w:rFonts w:cs="Arial"/>
                <w:b/>
                <w:szCs w:val="24"/>
              </w:rPr>
              <w:t>Description</w:t>
            </w:r>
          </w:p>
          <w:p w14:paraId="09C52E62" w14:textId="0438A9B4" w:rsidR="00C246E6" w:rsidRPr="005D7734" w:rsidRDefault="0035359C" w:rsidP="005D7734">
            <w:pPr>
              <w:pStyle w:val="ListParagraph"/>
              <w:numPr>
                <w:ilvl w:val="0"/>
                <w:numId w:val="38"/>
              </w:numPr>
              <w:spacing w:after="120"/>
              <w:ind w:left="360"/>
              <w:rPr>
                <w:rFonts w:cs="Arial"/>
                <w:szCs w:val="24"/>
              </w:rPr>
            </w:pPr>
            <w:r w:rsidRPr="005D7734">
              <w:rPr>
                <w:rFonts w:cs="Arial"/>
                <w:szCs w:val="24"/>
              </w:rPr>
              <w:t xml:space="preserve">Gender identity services </w:t>
            </w:r>
            <w:proofErr w:type="gramStart"/>
            <w:r w:rsidRPr="005D7734">
              <w:rPr>
                <w:rFonts w:cs="Arial"/>
                <w:szCs w:val="24"/>
              </w:rPr>
              <w:t>includes</w:t>
            </w:r>
            <w:proofErr w:type="gramEnd"/>
            <w:r w:rsidRPr="005D7734">
              <w:rPr>
                <w:rFonts w:cs="Arial"/>
                <w:szCs w:val="24"/>
              </w:rPr>
              <w:t xml:space="preserve"> specialist assessment, non-surgical care packages, certain surgical interventions and immediate associated after care provided by </w:t>
            </w:r>
            <w:r w:rsidR="0052699A" w:rsidRPr="005D7734">
              <w:rPr>
                <w:rFonts w:cs="Arial"/>
                <w:szCs w:val="24"/>
              </w:rPr>
              <w:t>specialist centres</w:t>
            </w:r>
            <w:r w:rsidRPr="005D7734">
              <w:rPr>
                <w:rFonts w:cs="Arial"/>
                <w:szCs w:val="24"/>
              </w:rPr>
              <w:t>.</w:t>
            </w:r>
          </w:p>
          <w:p w14:paraId="1DC3CCC8" w14:textId="77777777" w:rsidR="005D7734" w:rsidRPr="005D7734" w:rsidRDefault="00B7037D" w:rsidP="005D7734">
            <w:pPr>
              <w:pStyle w:val="NoSpacing"/>
              <w:rPr>
                <w:b/>
                <w:bCs w:val="0"/>
              </w:rPr>
            </w:pPr>
            <w:r w:rsidRPr="005D7734">
              <w:rPr>
                <w:b/>
                <w:bCs w:val="0"/>
              </w:rPr>
              <w:t>How the Service is Differentiated from Services Fa</w:t>
            </w:r>
            <w:r w:rsidR="00C246E6" w:rsidRPr="005D7734">
              <w:rPr>
                <w:b/>
                <w:bCs w:val="0"/>
              </w:rPr>
              <w:t>lling within the</w:t>
            </w:r>
          </w:p>
          <w:p w14:paraId="13038264" w14:textId="253FDB10" w:rsidR="00F14C7F" w:rsidRPr="005D7734" w:rsidRDefault="00B7037D" w:rsidP="005D7734">
            <w:pPr>
              <w:pStyle w:val="NoSpacing"/>
              <w:rPr>
                <w:b/>
                <w:bCs w:val="0"/>
              </w:rPr>
            </w:pPr>
            <w:r w:rsidRPr="005D7734">
              <w:rPr>
                <w:b/>
                <w:bCs w:val="0"/>
              </w:rPr>
              <w:t>Responsibilities of Other Commissioners</w:t>
            </w:r>
          </w:p>
          <w:p w14:paraId="287B9F5D" w14:textId="77777777" w:rsidR="005D7734" w:rsidRPr="005D7734" w:rsidRDefault="005D7734" w:rsidP="005D7734">
            <w:pPr>
              <w:pStyle w:val="NoSpacing"/>
            </w:pPr>
          </w:p>
          <w:p w14:paraId="3A641211" w14:textId="48BD53C6" w:rsidR="00F14C7F" w:rsidRPr="005D7734" w:rsidRDefault="00286B48" w:rsidP="005D7734">
            <w:pPr>
              <w:pStyle w:val="ListParagraph"/>
              <w:numPr>
                <w:ilvl w:val="0"/>
                <w:numId w:val="36"/>
              </w:numPr>
              <w:spacing w:after="120"/>
              <w:rPr>
                <w:rFonts w:cs="Arial"/>
                <w:szCs w:val="24"/>
              </w:rPr>
            </w:pPr>
            <w:r w:rsidRPr="005D7734">
              <w:rPr>
                <w:rFonts w:cs="Arial"/>
                <w:szCs w:val="24"/>
              </w:rPr>
              <w:t>Integrated Care Systems</w:t>
            </w:r>
            <w:r w:rsidR="003C2102" w:rsidRPr="005D7734">
              <w:rPr>
                <w:rFonts w:cs="Arial"/>
                <w:szCs w:val="24"/>
              </w:rPr>
              <w:t xml:space="preserve"> are responsible for </w:t>
            </w:r>
            <w:r w:rsidR="009B651E" w:rsidRPr="005D7734">
              <w:rPr>
                <w:rFonts w:cs="Arial"/>
                <w:szCs w:val="24"/>
              </w:rPr>
              <w:t xml:space="preserve">commissioning </w:t>
            </w:r>
            <w:r w:rsidR="004951FD" w:rsidRPr="005D7734">
              <w:rPr>
                <w:rFonts w:cs="Arial"/>
                <w:szCs w:val="24"/>
              </w:rPr>
              <w:t xml:space="preserve">certain </w:t>
            </w:r>
            <w:r w:rsidR="009B651E" w:rsidRPr="005D7734">
              <w:rPr>
                <w:rFonts w:cs="Arial"/>
                <w:szCs w:val="24"/>
              </w:rPr>
              <w:t>non-specialist eleme</w:t>
            </w:r>
            <w:r w:rsidR="00F14C7F" w:rsidRPr="005D7734">
              <w:rPr>
                <w:rFonts w:cs="Arial"/>
                <w:szCs w:val="24"/>
              </w:rPr>
              <w:t>nts of the NHS pathway of care</w:t>
            </w:r>
            <w:r w:rsidR="004951FD" w:rsidRPr="005D7734">
              <w:rPr>
                <w:rFonts w:cs="Arial"/>
                <w:szCs w:val="24"/>
              </w:rPr>
              <w:t xml:space="preserve"> for individuals with gender dysphoria</w:t>
            </w:r>
            <w:r w:rsidR="00F14C7F" w:rsidRPr="005D7734">
              <w:rPr>
                <w:rFonts w:cs="Arial"/>
                <w:szCs w:val="24"/>
              </w:rPr>
              <w:t>.</w:t>
            </w:r>
          </w:p>
          <w:p w14:paraId="08AE01C9" w14:textId="7F60C3F2" w:rsidR="005D7734" w:rsidRPr="005D7734" w:rsidRDefault="005D7734" w:rsidP="005D7734">
            <w:pPr>
              <w:spacing w:after="120"/>
              <w:ind w:left="720"/>
              <w:rPr>
                <w:rFonts w:cs="Arial"/>
                <w:szCs w:val="24"/>
              </w:rPr>
            </w:pPr>
          </w:p>
        </w:tc>
      </w:tr>
      <w:tr w:rsidR="00B7037D" w:rsidRPr="00CB26F8" w14:paraId="692F47F4" w14:textId="77777777" w:rsidTr="00FA2B91">
        <w:tc>
          <w:tcPr>
            <w:tcW w:w="8908" w:type="dxa"/>
            <w:tcBorders>
              <w:bottom w:val="single" w:sz="4" w:space="0" w:color="auto"/>
            </w:tcBorders>
            <w:shd w:val="clear" w:color="auto" w:fill="C4BC96"/>
          </w:tcPr>
          <w:p w14:paraId="5AB492A0" w14:textId="0DA88F66" w:rsidR="00B7037D" w:rsidRPr="00CB26F8" w:rsidRDefault="00B7037D" w:rsidP="00F14C7F">
            <w:pPr>
              <w:spacing w:after="120"/>
              <w:rPr>
                <w:rFonts w:cs="Arial"/>
                <w:b/>
                <w:szCs w:val="24"/>
              </w:rPr>
            </w:pPr>
            <w:r w:rsidRPr="00CB26F8">
              <w:rPr>
                <w:rFonts w:cs="Arial"/>
                <w:b/>
                <w:szCs w:val="24"/>
              </w:rPr>
              <w:t>Care Pathway and Clinical Dependencies</w:t>
            </w:r>
          </w:p>
          <w:p w14:paraId="5C69FD82" w14:textId="77777777" w:rsidR="001D219E" w:rsidRPr="00CB26F8" w:rsidRDefault="001D219E" w:rsidP="00F14C7F">
            <w:pPr>
              <w:spacing w:after="120"/>
              <w:rPr>
                <w:rFonts w:cs="Arial"/>
                <w:b/>
                <w:szCs w:val="24"/>
              </w:rPr>
            </w:pPr>
          </w:p>
        </w:tc>
      </w:tr>
      <w:tr w:rsidR="00B7037D" w:rsidRPr="00CB26F8" w14:paraId="6CB2A1DD" w14:textId="77777777" w:rsidTr="00FA2B91">
        <w:tc>
          <w:tcPr>
            <w:tcW w:w="8908" w:type="dxa"/>
            <w:shd w:val="clear" w:color="auto" w:fill="auto"/>
          </w:tcPr>
          <w:p w14:paraId="55E852C7" w14:textId="77777777" w:rsidR="00F14C7F" w:rsidRPr="00CB26F8" w:rsidRDefault="009B651E" w:rsidP="005D7734">
            <w:pPr>
              <w:spacing w:after="120"/>
              <w:rPr>
                <w:rFonts w:cs="Arial"/>
                <w:b/>
                <w:szCs w:val="24"/>
              </w:rPr>
            </w:pPr>
            <w:r w:rsidRPr="00CB26F8">
              <w:rPr>
                <w:rFonts w:cs="Arial"/>
                <w:b/>
                <w:szCs w:val="24"/>
              </w:rPr>
              <w:t>Background</w:t>
            </w:r>
          </w:p>
          <w:p w14:paraId="4CBC6ECA" w14:textId="77777777" w:rsidR="006E5522" w:rsidRPr="00C246E6" w:rsidRDefault="006E5522" w:rsidP="005D7734">
            <w:pPr>
              <w:spacing w:after="120"/>
              <w:rPr>
                <w:rFonts w:cs="Arial"/>
                <w:b/>
                <w:szCs w:val="24"/>
              </w:rPr>
            </w:pPr>
            <w:r w:rsidRPr="00C246E6">
              <w:rPr>
                <w:rFonts w:cs="Arial"/>
                <w:b/>
                <w:szCs w:val="24"/>
              </w:rPr>
              <w:t>Gender dysphoria</w:t>
            </w:r>
          </w:p>
          <w:p w14:paraId="7E1D8C95" w14:textId="77777777" w:rsidR="005D7734" w:rsidRDefault="009B651E" w:rsidP="005D7734">
            <w:pPr>
              <w:pStyle w:val="ListParagraph"/>
              <w:numPr>
                <w:ilvl w:val="0"/>
                <w:numId w:val="36"/>
              </w:numPr>
              <w:spacing w:after="120"/>
              <w:rPr>
                <w:rFonts w:cs="Arial"/>
                <w:szCs w:val="24"/>
              </w:rPr>
            </w:pPr>
            <w:r w:rsidRPr="005D7734">
              <w:rPr>
                <w:rFonts w:cs="Arial"/>
                <w:szCs w:val="24"/>
              </w:rPr>
              <w:t xml:space="preserve">The term used to describe a discrepancy between birth-assigned sex and gender identity is </w:t>
            </w:r>
            <w:r w:rsidRPr="005D7734">
              <w:rPr>
                <w:rFonts w:cs="Arial"/>
                <w:b/>
                <w:szCs w:val="24"/>
              </w:rPr>
              <w:t>gender incongruence</w:t>
            </w:r>
            <w:r w:rsidRPr="005D7734">
              <w:rPr>
                <w:rFonts w:cs="Arial"/>
                <w:szCs w:val="24"/>
              </w:rPr>
              <w:t xml:space="preserve">; this term is preferable to the </w:t>
            </w:r>
            <w:proofErr w:type="gramStart"/>
            <w:r w:rsidRPr="005D7734">
              <w:rPr>
                <w:rFonts w:cs="Arial"/>
                <w:szCs w:val="24"/>
              </w:rPr>
              <w:t>formerly-used</w:t>
            </w:r>
            <w:proofErr w:type="gramEnd"/>
            <w:r w:rsidRPr="005D7734">
              <w:rPr>
                <w:rFonts w:cs="Arial"/>
                <w:szCs w:val="24"/>
              </w:rPr>
              <w:t xml:space="preserve"> terms of gender identity disorder and transsexualism. Gender incongruence is frequently, but not universally, accompanied by the symptom of </w:t>
            </w:r>
            <w:r w:rsidRPr="005D7734">
              <w:rPr>
                <w:rFonts w:cs="Arial"/>
                <w:b/>
                <w:szCs w:val="24"/>
              </w:rPr>
              <w:t>gender dysphoria</w:t>
            </w:r>
            <w:r w:rsidRPr="005D7734">
              <w:rPr>
                <w:rFonts w:cs="Arial"/>
                <w:szCs w:val="24"/>
              </w:rPr>
              <w:t>.</w:t>
            </w:r>
          </w:p>
          <w:p w14:paraId="6C80462D" w14:textId="10112DFA" w:rsidR="005D7734" w:rsidRDefault="009B651E" w:rsidP="005D7734">
            <w:pPr>
              <w:pStyle w:val="ListParagraph"/>
              <w:spacing w:after="120"/>
              <w:ind w:left="360"/>
              <w:rPr>
                <w:rFonts w:cs="Arial"/>
                <w:szCs w:val="24"/>
              </w:rPr>
            </w:pPr>
            <w:r w:rsidRPr="005D7734">
              <w:rPr>
                <w:rFonts w:cs="Arial"/>
                <w:szCs w:val="24"/>
              </w:rPr>
              <w:t xml:space="preserve"> </w:t>
            </w:r>
          </w:p>
          <w:p w14:paraId="4F6DDE49" w14:textId="1A6D41C1" w:rsidR="00F14C7F" w:rsidRPr="005D7734" w:rsidRDefault="009B651E" w:rsidP="005D7734">
            <w:pPr>
              <w:pStyle w:val="ListParagraph"/>
              <w:numPr>
                <w:ilvl w:val="0"/>
                <w:numId w:val="36"/>
              </w:numPr>
              <w:spacing w:after="120"/>
              <w:rPr>
                <w:rFonts w:cs="Arial"/>
                <w:szCs w:val="24"/>
              </w:rPr>
            </w:pPr>
            <w:r w:rsidRPr="005D7734">
              <w:rPr>
                <w:rFonts w:cs="Arial"/>
                <w:szCs w:val="24"/>
              </w:rPr>
              <w:t>The current version of the International Statistical Classification of Diseases and Related Health Problems identifies ‘transs</w:t>
            </w:r>
            <w:r w:rsidR="001D219E" w:rsidRPr="005D7734">
              <w:rPr>
                <w:rFonts w:cs="Arial"/>
                <w:szCs w:val="24"/>
              </w:rPr>
              <w:t xml:space="preserve">exualism’ (ICD 10 code F64) as </w:t>
            </w:r>
            <w:r w:rsidRPr="005D7734">
              <w:rPr>
                <w:rFonts w:cs="Arial"/>
                <w:szCs w:val="24"/>
              </w:rPr>
              <w:t>“</w:t>
            </w:r>
            <w:r w:rsidR="001D219E" w:rsidRPr="005D7734">
              <w:rPr>
                <w:rFonts w:cs="Arial"/>
                <w:i/>
                <w:szCs w:val="24"/>
              </w:rPr>
              <w:t>a</w:t>
            </w:r>
            <w:r w:rsidRPr="005D7734">
              <w:rPr>
                <w:rFonts w:cs="Arial"/>
                <w:i/>
                <w:szCs w:val="24"/>
              </w:rPr>
              <w:t xml:space="preserve"> disorder characterized by a strong and persistent cross-gender identification (such as stating a desire to be the other sex or frequently passing as the other sex) coupled with persistent discomfort with his or her sex (manifested in adults, for example, as a preoccupation with altering primary and secondary sex characteristics through hormonal manipulation or surgery)</w:t>
            </w:r>
            <w:r w:rsidR="007619B9" w:rsidRPr="005D7734">
              <w:rPr>
                <w:rFonts w:cs="Arial"/>
                <w:szCs w:val="24"/>
              </w:rPr>
              <w:t>”.</w:t>
            </w:r>
            <w:r w:rsidR="00FE0B7F">
              <w:rPr>
                <w:rStyle w:val="FootnoteReference"/>
                <w:rFonts w:cs="Arial"/>
                <w:szCs w:val="24"/>
              </w:rPr>
              <w:footnoteReference w:id="1"/>
            </w:r>
          </w:p>
          <w:p w14:paraId="44F56678" w14:textId="77777777" w:rsidR="006E5522" w:rsidRPr="00C246E6" w:rsidRDefault="0017346A" w:rsidP="005D7734">
            <w:pPr>
              <w:spacing w:after="120"/>
              <w:rPr>
                <w:rFonts w:cs="Arial"/>
                <w:b/>
                <w:szCs w:val="24"/>
              </w:rPr>
            </w:pPr>
            <w:r>
              <w:rPr>
                <w:rFonts w:cs="Arial"/>
                <w:b/>
                <w:szCs w:val="24"/>
              </w:rPr>
              <w:t>Extension of t</w:t>
            </w:r>
            <w:r w:rsidR="006E5522" w:rsidRPr="00C246E6">
              <w:rPr>
                <w:rFonts w:cs="Arial"/>
                <w:b/>
                <w:szCs w:val="24"/>
              </w:rPr>
              <w:t>he model of care</w:t>
            </w:r>
            <w:r>
              <w:rPr>
                <w:rFonts w:cs="Arial"/>
                <w:b/>
                <w:szCs w:val="24"/>
              </w:rPr>
              <w:t xml:space="preserve"> t</w:t>
            </w:r>
            <w:r w:rsidR="00EA4BE4">
              <w:rPr>
                <w:rFonts w:cs="Arial"/>
                <w:b/>
                <w:szCs w:val="24"/>
              </w:rPr>
              <w:t>o primary care settings and sexual health settings</w:t>
            </w:r>
          </w:p>
          <w:p w14:paraId="1568DC2B" w14:textId="749C4C3E" w:rsidR="00105269" w:rsidRPr="005D7734" w:rsidRDefault="00105269" w:rsidP="005D7734">
            <w:pPr>
              <w:pStyle w:val="ListParagraph"/>
              <w:numPr>
                <w:ilvl w:val="0"/>
                <w:numId w:val="36"/>
              </w:numPr>
              <w:spacing w:after="120"/>
              <w:rPr>
                <w:rFonts w:cs="Arial"/>
                <w:szCs w:val="24"/>
              </w:rPr>
            </w:pPr>
            <w:r w:rsidRPr="005D7734">
              <w:rPr>
                <w:rFonts w:cs="Arial"/>
                <w:szCs w:val="24"/>
              </w:rPr>
              <w:t>Subject to the outcome of early adopter evaluation NHS England may extend the model for delivery of care to multi-disciplinary teams based in primary care settings</w:t>
            </w:r>
            <w:r w:rsidR="00EA4BE4" w:rsidRPr="005D7734">
              <w:rPr>
                <w:rFonts w:cs="Arial"/>
                <w:szCs w:val="24"/>
              </w:rPr>
              <w:t xml:space="preserve"> and sexual health settings</w:t>
            </w:r>
            <w:r w:rsidRPr="005D7734">
              <w:rPr>
                <w:rFonts w:cs="Arial"/>
                <w:szCs w:val="24"/>
              </w:rPr>
              <w:t xml:space="preserve">, on a phased basis. </w:t>
            </w:r>
          </w:p>
          <w:p w14:paraId="72D3178A" w14:textId="77777777" w:rsidR="00F14C7F" w:rsidRPr="00CB26F8" w:rsidRDefault="009B651E" w:rsidP="005D7734">
            <w:pPr>
              <w:spacing w:after="120"/>
              <w:rPr>
                <w:rFonts w:cs="Arial"/>
                <w:b/>
                <w:szCs w:val="24"/>
              </w:rPr>
            </w:pPr>
            <w:r w:rsidRPr="00CB26F8">
              <w:rPr>
                <w:rFonts w:cs="Arial"/>
                <w:b/>
                <w:szCs w:val="24"/>
              </w:rPr>
              <w:t>Principles guiding the developme</w:t>
            </w:r>
            <w:r w:rsidR="00F14C7F" w:rsidRPr="00CB26F8">
              <w:rPr>
                <w:rFonts w:cs="Arial"/>
                <w:b/>
                <w:szCs w:val="24"/>
              </w:rPr>
              <w:t>nt of this service specification</w:t>
            </w:r>
          </w:p>
          <w:p w14:paraId="6AC491F6" w14:textId="77777777" w:rsidR="005D7734" w:rsidRDefault="009B651E" w:rsidP="005D7734">
            <w:pPr>
              <w:pStyle w:val="ListParagraph"/>
              <w:numPr>
                <w:ilvl w:val="0"/>
                <w:numId w:val="36"/>
              </w:numPr>
              <w:spacing w:after="120"/>
              <w:rPr>
                <w:rFonts w:cs="Arial"/>
                <w:szCs w:val="24"/>
              </w:rPr>
            </w:pPr>
            <w:r w:rsidRPr="005D7734">
              <w:rPr>
                <w:rFonts w:cs="Arial"/>
                <w:szCs w:val="24"/>
              </w:rPr>
              <w:t>Gender dysphoria is not</w:t>
            </w:r>
            <w:proofErr w:type="gramStart"/>
            <w:r w:rsidRPr="005D7734">
              <w:rPr>
                <w:rFonts w:cs="Arial"/>
                <w:szCs w:val="24"/>
              </w:rPr>
              <w:t>, in itself, a</w:t>
            </w:r>
            <w:proofErr w:type="gramEnd"/>
            <w:r w:rsidRPr="005D7734">
              <w:rPr>
                <w:rFonts w:cs="Arial"/>
                <w:szCs w:val="24"/>
              </w:rPr>
              <w:t xml:space="preserve"> mental health condition, reflecting co</w:t>
            </w:r>
            <w:r w:rsidR="001D219E" w:rsidRPr="005D7734">
              <w:rPr>
                <w:rFonts w:cs="Arial"/>
                <w:szCs w:val="24"/>
              </w:rPr>
              <w:t>ntemporary profess</w:t>
            </w:r>
            <w:r w:rsidR="00F14C7F" w:rsidRPr="005D7734">
              <w:rPr>
                <w:rFonts w:cs="Arial"/>
                <w:szCs w:val="24"/>
              </w:rPr>
              <w:t>ional opinion</w:t>
            </w:r>
            <w:r w:rsidR="00F64BDD" w:rsidRPr="005D7734">
              <w:rPr>
                <w:rFonts w:cs="Arial"/>
                <w:szCs w:val="24"/>
              </w:rPr>
              <w:t xml:space="preserve"> (Diagnostic and Statistical Manual of Mental Disorders (v5, 2013))</w:t>
            </w:r>
            <w:r w:rsidR="00F14C7F" w:rsidRPr="005D7734">
              <w:rPr>
                <w:rFonts w:cs="Arial"/>
                <w:szCs w:val="24"/>
              </w:rPr>
              <w:t>.</w:t>
            </w:r>
          </w:p>
          <w:p w14:paraId="043782D0" w14:textId="77777777" w:rsidR="005D7734" w:rsidRDefault="005D7734" w:rsidP="005D7734">
            <w:pPr>
              <w:pStyle w:val="ListParagraph"/>
              <w:spacing w:after="120"/>
              <w:ind w:left="360"/>
              <w:rPr>
                <w:rFonts w:cs="Arial"/>
                <w:szCs w:val="24"/>
              </w:rPr>
            </w:pPr>
          </w:p>
          <w:p w14:paraId="683DECC9" w14:textId="77777777" w:rsidR="005D7734" w:rsidRDefault="009D372F" w:rsidP="005D7734">
            <w:pPr>
              <w:pStyle w:val="ListParagraph"/>
              <w:numPr>
                <w:ilvl w:val="0"/>
                <w:numId w:val="36"/>
              </w:numPr>
              <w:spacing w:after="120"/>
              <w:rPr>
                <w:rFonts w:cs="Arial"/>
                <w:szCs w:val="24"/>
              </w:rPr>
            </w:pPr>
            <w:r w:rsidRPr="005D7734">
              <w:rPr>
                <w:rFonts w:cs="Arial"/>
                <w:szCs w:val="24"/>
              </w:rPr>
              <w:t>It is optimal for the individual to be referred by their General Practitioner</w:t>
            </w:r>
            <w:r w:rsidR="004D2EBB" w:rsidRPr="005D7734">
              <w:rPr>
                <w:rFonts w:cs="Arial"/>
                <w:szCs w:val="24"/>
              </w:rPr>
              <w:t xml:space="preserve"> (GP)</w:t>
            </w:r>
            <w:r w:rsidRPr="005D7734">
              <w:rPr>
                <w:rFonts w:cs="Arial"/>
                <w:szCs w:val="24"/>
              </w:rPr>
              <w:t xml:space="preserve"> </w:t>
            </w:r>
            <w:r w:rsidR="00267485" w:rsidRPr="005D7734">
              <w:rPr>
                <w:rFonts w:cs="Arial"/>
                <w:szCs w:val="24"/>
              </w:rPr>
              <w:t>in view of the benefits of</w:t>
            </w:r>
            <w:r w:rsidR="00E12897" w:rsidRPr="005D7734">
              <w:rPr>
                <w:rFonts w:cs="Arial"/>
                <w:szCs w:val="24"/>
              </w:rPr>
              <w:t xml:space="preserve"> </w:t>
            </w:r>
            <w:r w:rsidR="00267485" w:rsidRPr="005D7734">
              <w:rPr>
                <w:rFonts w:cs="Arial"/>
                <w:szCs w:val="24"/>
              </w:rPr>
              <w:t xml:space="preserve">ongoing support by the GP, </w:t>
            </w:r>
            <w:r w:rsidR="00E12897" w:rsidRPr="005D7734">
              <w:rPr>
                <w:rFonts w:cs="Arial"/>
                <w:szCs w:val="24"/>
              </w:rPr>
              <w:t>particularly after discharge from the specialist team. However, individual</w:t>
            </w:r>
            <w:r w:rsidR="004D2EBB" w:rsidRPr="005D7734">
              <w:rPr>
                <w:rFonts w:cs="Arial"/>
                <w:szCs w:val="24"/>
              </w:rPr>
              <w:t xml:space="preserve">s may self-refer should they </w:t>
            </w:r>
            <w:r w:rsidR="00E12897" w:rsidRPr="005D7734">
              <w:rPr>
                <w:rFonts w:cs="Arial"/>
                <w:szCs w:val="24"/>
              </w:rPr>
              <w:t>choose</w:t>
            </w:r>
            <w:r w:rsidR="004D2EBB" w:rsidRPr="005D7734">
              <w:rPr>
                <w:rFonts w:cs="Arial"/>
                <w:szCs w:val="24"/>
              </w:rPr>
              <w:t xml:space="preserve"> to do so</w:t>
            </w:r>
            <w:r w:rsidR="005D7734">
              <w:rPr>
                <w:rFonts w:cs="Arial"/>
                <w:szCs w:val="24"/>
              </w:rPr>
              <w:t>.</w:t>
            </w:r>
          </w:p>
          <w:p w14:paraId="2AB1D47B" w14:textId="77777777" w:rsidR="005D7734" w:rsidRPr="005D7734" w:rsidRDefault="005D7734" w:rsidP="005D7734">
            <w:pPr>
              <w:pStyle w:val="ListParagraph"/>
              <w:rPr>
                <w:rFonts w:cs="Arial"/>
                <w:szCs w:val="24"/>
              </w:rPr>
            </w:pPr>
          </w:p>
          <w:p w14:paraId="5D56D601" w14:textId="77777777" w:rsidR="005D7734" w:rsidRDefault="004D2EBB" w:rsidP="005D7734">
            <w:pPr>
              <w:pStyle w:val="ListParagraph"/>
              <w:numPr>
                <w:ilvl w:val="0"/>
                <w:numId w:val="36"/>
              </w:numPr>
              <w:spacing w:after="120"/>
              <w:rPr>
                <w:rFonts w:cs="Arial"/>
                <w:szCs w:val="24"/>
              </w:rPr>
            </w:pPr>
            <w:r w:rsidRPr="005D7734">
              <w:rPr>
                <w:rFonts w:cs="Arial"/>
                <w:szCs w:val="24"/>
              </w:rPr>
              <w:t xml:space="preserve">Providers will respect the right of an individual to self-refer. These individuals should not be disadvantaged by a Provider’s insistence on obtaining </w:t>
            </w:r>
            <w:r w:rsidR="00E43689" w:rsidRPr="005D7734">
              <w:rPr>
                <w:rFonts w:cs="Arial"/>
                <w:szCs w:val="24"/>
              </w:rPr>
              <w:t>a prescriptive</w:t>
            </w:r>
            <w:r w:rsidRPr="005D7734">
              <w:rPr>
                <w:rFonts w:cs="Arial"/>
                <w:szCs w:val="24"/>
              </w:rPr>
              <w:t xml:space="preserve"> set of data from the individual’s GP as a pre-condition to assessment as this may, in practice, deny an individual the right of self-referral.</w:t>
            </w:r>
          </w:p>
          <w:p w14:paraId="675CC22C" w14:textId="77777777" w:rsidR="005D7734" w:rsidRPr="005D7734" w:rsidRDefault="005D7734" w:rsidP="005D7734">
            <w:pPr>
              <w:pStyle w:val="ListParagraph"/>
              <w:rPr>
                <w:rFonts w:cs="Arial"/>
                <w:szCs w:val="24"/>
              </w:rPr>
            </w:pPr>
          </w:p>
          <w:p w14:paraId="7B7E3A84" w14:textId="77777777" w:rsidR="005D7734" w:rsidRPr="005D7734" w:rsidRDefault="009B651E" w:rsidP="005D7734">
            <w:pPr>
              <w:pStyle w:val="ListParagraph"/>
              <w:numPr>
                <w:ilvl w:val="0"/>
                <w:numId w:val="36"/>
              </w:numPr>
              <w:spacing w:after="120"/>
              <w:rPr>
                <w:rFonts w:cs="Arial"/>
                <w:szCs w:val="24"/>
              </w:rPr>
            </w:pPr>
            <w:r w:rsidRPr="005D7734">
              <w:rPr>
                <w:rFonts w:cs="Arial"/>
                <w:szCs w:val="24"/>
              </w:rPr>
              <w:t xml:space="preserve">All </w:t>
            </w:r>
            <w:r w:rsidR="00A515FD" w:rsidRPr="005D7734">
              <w:rPr>
                <w:rFonts w:cs="Arial"/>
                <w:szCs w:val="24"/>
              </w:rPr>
              <w:t xml:space="preserve">eligible </w:t>
            </w:r>
            <w:r w:rsidRPr="005D7734">
              <w:rPr>
                <w:rFonts w:cs="Arial"/>
                <w:szCs w:val="24"/>
              </w:rPr>
              <w:t xml:space="preserve">individuals referred to a Gender </w:t>
            </w:r>
            <w:r w:rsidR="009A2D5D" w:rsidRPr="005D7734">
              <w:rPr>
                <w:rFonts w:cs="Arial"/>
                <w:szCs w:val="24"/>
              </w:rPr>
              <w:t xml:space="preserve">Dysphoria </w:t>
            </w:r>
            <w:r w:rsidRPr="005D7734">
              <w:rPr>
                <w:rFonts w:cs="Arial"/>
                <w:szCs w:val="24"/>
              </w:rPr>
              <w:t>Clinic may exercise full personal autonomy in respect of their gender identity and presen</w:t>
            </w:r>
            <w:r w:rsidR="00A8689D" w:rsidRPr="005D7734">
              <w:rPr>
                <w:rFonts w:cs="Arial"/>
                <w:szCs w:val="24"/>
              </w:rPr>
              <w:t xml:space="preserve">tation; and must have </w:t>
            </w:r>
            <w:r w:rsidRPr="005D7734">
              <w:rPr>
                <w:rFonts w:cs="Arial"/>
                <w:szCs w:val="24"/>
              </w:rPr>
              <w:t>equitable access to the range of interventions describ</w:t>
            </w:r>
            <w:r w:rsidR="001D219E" w:rsidRPr="005D7734">
              <w:rPr>
                <w:rFonts w:cs="Arial"/>
                <w:szCs w:val="24"/>
              </w:rPr>
              <w:t>ed in this service specification.</w:t>
            </w:r>
            <w:r w:rsidR="009D372F" w:rsidRPr="005D7734">
              <w:rPr>
                <w:rFonts w:cs="Arial"/>
                <w:szCs w:val="24"/>
              </w:rPr>
              <w:t xml:space="preserve"> </w:t>
            </w:r>
            <w:r w:rsidRPr="005D7734">
              <w:rPr>
                <w:rFonts w:cs="Arial"/>
                <w:szCs w:val="24"/>
              </w:rPr>
              <w:t xml:space="preserve">Equity of access and </w:t>
            </w:r>
            <w:proofErr w:type="gramStart"/>
            <w:r w:rsidR="00A515FD" w:rsidRPr="005D7734">
              <w:rPr>
                <w:rFonts w:cs="Arial"/>
                <w:szCs w:val="24"/>
              </w:rPr>
              <w:t xml:space="preserve">high </w:t>
            </w:r>
            <w:r w:rsidRPr="005D7734">
              <w:rPr>
                <w:rFonts w:cs="Arial"/>
                <w:szCs w:val="24"/>
              </w:rPr>
              <w:t>quality</w:t>
            </w:r>
            <w:proofErr w:type="gramEnd"/>
            <w:r w:rsidRPr="005D7734">
              <w:rPr>
                <w:rFonts w:cs="Arial"/>
                <w:szCs w:val="24"/>
              </w:rPr>
              <w:t xml:space="preserve"> care will be provided to all </w:t>
            </w:r>
            <w:r w:rsidR="00A515FD" w:rsidRPr="005D7734">
              <w:rPr>
                <w:rFonts w:cs="Arial"/>
                <w:szCs w:val="24"/>
              </w:rPr>
              <w:t xml:space="preserve">individuals </w:t>
            </w:r>
            <w:r w:rsidRPr="005D7734">
              <w:rPr>
                <w:rFonts w:cs="Arial"/>
                <w:szCs w:val="24"/>
              </w:rPr>
              <w:t xml:space="preserve">who </w:t>
            </w:r>
            <w:r w:rsidR="00A515FD" w:rsidRPr="005D7734">
              <w:rPr>
                <w:rFonts w:cs="Arial"/>
                <w:szCs w:val="24"/>
              </w:rPr>
              <w:t>meet the criteria for access to the NHS pathway of care.</w:t>
            </w:r>
            <w:r w:rsidR="00541415" w:rsidRPr="005D7734">
              <w:rPr>
                <w:rFonts w:cs="Arial"/>
                <w:szCs w:val="24"/>
              </w:rPr>
              <w:t xml:space="preserve"> </w:t>
            </w:r>
            <w:proofErr w:type="gramStart"/>
            <w:r w:rsidRPr="005D7734">
              <w:rPr>
                <w:rFonts w:cs="Arial"/>
                <w:szCs w:val="24"/>
              </w:rPr>
              <w:t>Each individual</w:t>
            </w:r>
            <w:proofErr w:type="gramEnd"/>
            <w:r w:rsidRPr="005D7734">
              <w:rPr>
                <w:rFonts w:cs="Arial"/>
                <w:szCs w:val="24"/>
              </w:rPr>
              <w:t xml:space="preserve"> will receive timely and appropriate treatment, as a minimum in accordance with national waiting time requirements</w:t>
            </w:r>
            <w:r w:rsidR="00F14C7F" w:rsidRPr="005D7734">
              <w:rPr>
                <w:rFonts w:cs="Arial"/>
                <w:b/>
                <w:szCs w:val="24"/>
              </w:rPr>
              <w:t>.</w:t>
            </w:r>
          </w:p>
          <w:p w14:paraId="3497C481" w14:textId="77777777" w:rsidR="005D7734" w:rsidRPr="005D7734" w:rsidRDefault="005D7734" w:rsidP="005D7734">
            <w:pPr>
              <w:pStyle w:val="ListParagraph"/>
              <w:rPr>
                <w:rFonts w:cs="Arial"/>
                <w:szCs w:val="24"/>
              </w:rPr>
            </w:pPr>
          </w:p>
          <w:p w14:paraId="35B127D2" w14:textId="77777777" w:rsidR="005D7734" w:rsidRDefault="009B651E" w:rsidP="005D7734">
            <w:pPr>
              <w:pStyle w:val="ListParagraph"/>
              <w:numPr>
                <w:ilvl w:val="0"/>
                <w:numId w:val="36"/>
              </w:numPr>
              <w:spacing w:after="120"/>
              <w:rPr>
                <w:rFonts w:cs="Arial"/>
                <w:szCs w:val="24"/>
              </w:rPr>
            </w:pPr>
            <w:r w:rsidRPr="005D7734">
              <w:rPr>
                <w:rFonts w:cs="Arial"/>
                <w:szCs w:val="24"/>
              </w:rPr>
              <w:t xml:space="preserve">Assessments and interventions will be personalised and based on shared decision making, with service flexibility </w:t>
            </w:r>
            <w:r w:rsidR="00A563E7" w:rsidRPr="005D7734">
              <w:rPr>
                <w:rFonts w:cs="Arial"/>
                <w:szCs w:val="24"/>
              </w:rPr>
              <w:t xml:space="preserve">and reasonable adjustments to delivery of care </w:t>
            </w:r>
            <w:r w:rsidRPr="005D7734">
              <w:rPr>
                <w:rFonts w:cs="Arial"/>
                <w:szCs w:val="24"/>
              </w:rPr>
              <w:t>to match the individual’s needs</w:t>
            </w:r>
            <w:r w:rsidR="00DF5160" w:rsidRPr="005D7734">
              <w:rPr>
                <w:rFonts w:cs="Arial"/>
                <w:szCs w:val="24"/>
              </w:rPr>
              <w:t xml:space="preserve"> and circumstances</w:t>
            </w:r>
            <w:r w:rsidR="00CE155B" w:rsidRPr="005D7734">
              <w:rPr>
                <w:rFonts w:cs="Arial"/>
                <w:szCs w:val="24"/>
              </w:rPr>
              <w:t>.</w:t>
            </w:r>
          </w:p>
          <w:p w14:paraId="685164D9" w14:textId="77777777" w:rsidR="005D7734" w:rsidRPr="005D7734" w:rsidRDefault="005D7734" w:rsidP="005D7734">
            <w:pPr>
              <w:pStyle w:val="ListParagraph"/>
              <w:rPr>
                <w:rFonts w:cs="Arial"/>
                <w:b/>
                <w:szCs w:val="24"/>
              </w:rPr>
            </w:pPr>
          </w:p>
          <w:p w14:paraId="04864C4D" w14:textId="77777777" w:rsidR="005D7734" w:rsidRDefault="009A2D5D" w:rsidP="005D7734">
            <w:pPr>
              <w:spacing w:after="120"/>
              <w:rPr>
                <w:rFonts w:cs="Arial"/>
                <w:szCs w:val="24"/>
              </w:rPr>
            </w:pPr>
            <w:r w:rsidRPr="005D7734">
              <w:rPr>
                <w:rFonts w:cs="Arial"/>
                <w:b/>
                <w:szCs w:val="24"/>
              </w:rPr>
              <w:t>Designated Gender Dysphoria</w:t>
            </w:r>
            <w:r w:rsidR="00F64BDD" w:rsidRPr="005D7734">
              <w:rPr>
                <w:rFonts w:cs="Arial"/>
                <w:b/>
                <w:szCs w:val="24"/>
              </w:rPr>
              <w:t xml:space="preserve"> Clinics </w:t>
            </w:r>
            <w:r w:rsidR="001D219E" w:rsidRPr="005D7734">
              <w:rPr>
                <w:rFonts w:cs="Arial"/>
                <w:b/>
                <w:szCs w:val="24"/>
              </w:rPr>
              <w:t>will:</w:t>
            </w:r>
          </w:p>
          <w:p w14:paraId="6AC541AF" w14:textId="77777777" w:rsidR="005D7734" w:rsidRDefault="00A8689D" w:rsidP="005D7734">
            <w:pPr>
              <w:pStyle w:val="ListParagraph"/>
              <w:numPr>
                <w:ilvl w:val="0"/>
                <w:numId w:val="36"/>
              </w:numPr>
              <w:spacing w:after="120"/>
              <w:rPr>
                <w:rFonts w:cs="Arial"/>
                <w:szCs w:val="24"/>
              </w:rPr>
            </w:pPr>
            <w:r w:rsidRPr="005D7734">
              <w:rPr>
                <w:rFonts w:cs="Arial"/>
                <w:szCs w:val="24"/>
              </w:rPr>
              <w:t xml:space="preserve">Provide a </w:t>
            </w:r>
            <w:proofErr w:type="gramStart"/>
            <w:r w:rsidRPr="005D7734">
              <w:rPr>
                <w:rFonts w:cs="Arial"/>
                <w:szCs w:val="24"/>
              </w:rPr>
              <w:t>high quality</w:t>
            </w:r>
            <w:proofErr w:type="gramEnd"/>
            <w:r w:rsidRPr="005D7734">
              <w:rPr>
                <w:rFonts w:cs="Arial"/>
                <w:szCs w:val="24"/>
              </w:rPr>
              <w:t xml:space="preserve"> </w:t>
            </w:r>
            <w:r w:rsidR="009B651E" w:rsidRPr="005D7734">
              <w:rPr>
                <w:rFonts w:cs="Arial"/>
                <w:szCs w:val="24"/>
              </w:rPr>
              <w:t>service for adults who have gender dysphoria; and will promote respect, digni</w:t>
            </w:r>
            <w:r w:rsidR="001D219E" w:rsidRPr="005D7734">
              <w:rPr>
                <w:rFonts w:cs="Arial"/>
                <w:szCs w:val="24"/>
              </w:rPr>
              <w:t>ty and equality for trans people.</w:t>
            </w:r>
          </w:p>
          <w:p w14:paraId="3F72A567" w14:textId="77777777" w:rsidR="005D7734" w:rsidRDefault="005D7734" w:rsidP="005D7734">
            <w:pPr>
              <w:pStyle w:val="ListParagraph"/>
              <w:spacing w:after="120"/>
              <w:ind w:left="360"/>
              <w:rPr>
                <w:rFonts w:cs="Arial"/>
                <w:szCs w:val="24"/>
              </w:rPr>
            </w:pPr>
          </w:p>
          <w:p w14:paraId="5D469AF0" w14:textId="77777777" w:rsidR="005D7734" w:rsidRPr="005D7734" w:rsidRDefault="009B651E" w:rsidP="005D7734">
            <w:pPr>
              <w:pStyle w:val="ListParagraph"/>
              <w:numPr>
                <w:ilvl w:val="0"/>
                <w:numId w:val="36"/>
              </w:numPr>
              <w:spacing w:after="120"/>
              <w:rPr>
                <w:rFonts w:cs="Arial"/>
                <w:szCs w:val="24"/>
              </w:rPr>
            </w:pPr>
            <w:r w:rsidRPr="005D7734">
              <w:rPr>
                <w:rFonts w:cs="Arial"/>
                <w:szCs w:val="24"/>
              </w:rPr>
              <w:t xml:space="preserve">Provide a timely and sustainable service for adults with gender dysphoria that meets the needs of the </w:t>
            </w:r>
            <w:proofErr w:type="gramStart"/>
            <w:r w:rsidRPr="005D7734">
              <w:rPr>
                <w:rFonts w:cs="Arial"/>
                <w:szCs w:val="24"/>
              </w:rPr>
              <w:t>population, and</w:t>
            </w:r>
            <w:proofErr w:type="gramEnd"/>
            <w:r w:rsidRPr="005D7734">
              <w:rPr>
                <w:rFonts w:cs="Arial"/>
                <w:szCs w:val="24"/>
              </w:rPr>
              <w:t xml:space="preserve"> incorporates the views of individuals</w:t>
            </w:r>
            <w:r w:rsidR="005D7734">
              <w:rPr>
                <w:rFonts w:cs="Arial"/>
                <w:b/>
                <w:szCs w:val="24"/>
              </w:rPr>
              <w:t>.</w:t>
            </w:r>
          </w:p>
          <w:p w14:paraId="78B2BE61" w14:textId="77777777" w:rsidR="005D7734" w:rsidRPr="005D7734" w:rsidRDefault="005D7734" w:rsidP="005D7734">
            <w:pPr>
              <w:pStyle w:val="ListParagraph"/>
              <w:rPr>
                <w:rFonts w:cs="Arial"/>
                <w:szCs w:val="24"/>
              </w:rPr>
            </w:pPr>
          </w:p>
          <w:p w14:paraId="1B3201CD" w14:textId="77777777" w:rsidR="006A5605" w:rsidRPr="006A5605" w:rsidRDefault="009B651E" w:rsidP="005D7734">
            <w:pPr>
              <w:pStyle w:val="ListParagraph"/>
              <w:numPr>
                <w:ilvl w:val="0"/>
                <w:numId w:val="36"/>
              </w:numPr>
              <w:spacing w:after="120"/>
              <w:rPr>
                <w:rFonts w:cs="Arial"/>
                <w:szCs w:val="24"/>
              </w:rPr>
            </w:pPr>
            <w:r w:rsidRPr="005D7734">
              <w:rPr>
                <w:rFonts w:cs="Arial"/>
                <w:szCs w:val="24"/>
              </w:rPr>
              <w:t xml:space="preserve">Work with specialised services for gender variant </w:t>
            </w:r>
            <w:r w:rsidR="00A8689D" w:rsidRPr="005D7734">
              <w:rPr>
                <w:rFonts w:cs="Arial"/>
                <w:szCs w:val="24"/>
              </w:rPr>
              <w:t>adolescents and young people</w:t>
            </w:r>
            <w:r w:rsidRPr="005D7734">
              <w:rPr>
                <w:rFonts w:cs="Arial"/>
                <w:szCs w:val="24"/>
              </w:rPr>
              <w:t xml:space="preserve"> to ensure a timely and effective transfer to adult services</w:t>
            </w:r>
            <w:r w:rsidR="00F14C7F" w:rsidRPr="005D7734">
              <w:rPr>
                <w:rFonts w:cs="Arial"/>
                <w:b/>
                <w:szCs w:val="24"/>
              </w:rPr>
              <w:t>.</w:t>
            </w:r>
            <w:r w:rsidR="00F64BDD" w:rsidRPr="005D7734">
              <w:rPr>
                <w:rFonts w:cs="Arial"/>
                <w:b/>
                <w:szCs w:val="24"/>
              </w:rPr>
              <w:t xml:space="preserve"> </w:t>
            </w:r>
          </w:p>
          <w:p w14:paraId="687BDA54" w14:textId="77777777" w:rsidR="006A5605" w:rsidRPr="006A5605" w:rsidRDefault="006A5605" w:rsidP="006A5605">
            <w:pPr>
              <w:pStyle w:val="ListParagraph"/>
              <w:rPr>
                <w:rFonts w:cs="Arial"/>
                <w:szCs w:val="24"/>
              </w:rPr>
            </w:pPr>
          </w:p>
          <w:p w14:paraId="33560E76" w14:textId="7816BBDD" w:rsidR="005D7734" w:rsidRPr="005D7734" w:rsidRDefault="009B651E" w:rsidP="005D7734">
            <w:pPr>
              <w:pStyle w:val="ListParagraph"/>
              <w:numPr>
                <w:ilvl w:val="0"/>
                <w:numId w:val="36"/>
              </w:numPr>
              <w:spacing w:after="120"/>
              <w:rPr>
                <w:rFonts w:cs="Arial"/>
                <w:szCs w:val="24"/>
              </w:rPr>
            </w:pPr>
            <w:r w:rsidRPr="005D7734">
              <w:rPr>
                <w:rFonts w:cs="Arial"/>
                <w:szCs w:val="24"/>
              </w:rPr>
              <w:t>Achieve an integrated approach to care with primary care providers and ensure close links with other expert centres at national a</w:t>
            </w:r>
            <w:r w:rsidR="00A8689D" w:rsidRPr="005D7734">
              <w:rPr>
                <w:rFonts w:cs="Arial"/>
                <w:szCs w:val="24"/>
              </w:rPr>
              <w:t>nd international levels</w:t>
            </w:r>
            <w:r w:rsidR="005D7734">
              <w:rPr>
                <w:rFonts w:cs="Arial"/>
                <w:b/>
                <w:szCs w:val="24"/>
              </w:rPr>
              <w:t>.</w:t>
            </w:r>
          </w:p>
          <w:p w14:paraId="0775896E" w14:textId="77777777" w:rsidR="005D7734" w:rsidRPr="005D7734" w:rsidRDefault="005D7734" w:rsidP="005D7734">
            <w:pPr>
              <w:pStyle w:val="ListParagraph"/>
              <w:rPr>
                <w:rFonts w:cs="Arial"/>
                <w:szCs w:val="24"/>
              </w:rPr>
            </w:pPr>
          </w:p>
          <w:p w14:paraId="5E17AB1D" w14:textId="77777777" w:rsidR="005D7734" w:rsidRDefault="00A8689D" w:rsidP="005D7734">
            <w:pPr>
              <w:pStyle w:val="ListParagraph"/>
              <w:numPr>
                <w:ilvl w:val="0"/>
                <w:numId w:val="36"/>
              </w:numPr>
              <w:spacing w:after="120"/>
              <w:rPr>
                <w:rFonts w:cs="Arial"/>
                <w:szCs w:val="24"/>
              </w:rPr>
            </w:pPr>
            <w:r w:rsidRPr="005D7734">
              <w:rPr>
                <w:rFonts w:cs="Arial"/>
                <w:szCs w:val="24"/>
              </w:rPr>
              <w:t>En</w:t>
            </w:r>
            <w:r w:rsidR="009B651E" w:rsidRPr="005D7734">
              <w:rPr>
                <w:rFonts w:cs="Arial"/>
                <w:szCs w:val="24"/>
              </w:rPr>
              <w:t>sure timely and appropriate communications with services who are expected to provide other parts of the individual’s pathway</w:t>
            </w:r>
            <w:r w:rsidR="005D7734">
              <w:rPr>
                <w:rFonts w:cs="Arial"/>
                <w:szCs w:val="24"/>
              </w:rPr>
              <w:t>.</w:t>
            </w:r>
          </w:p>
          <w:p w14:paraId="4D0C5C3D" w14:textId="77777777" w:rsidR="005D7734" w:rsidRPr="005D7734" w:rsidRDefault="005D7734" w:rsidP="005D7734">
            <w:pPr>
              <w:pStyle w:val="ListParagraph"/>
              <w:rPr>
                <w:rFonts w:cs="Arial"/>
                <w:szCs w:val="24"/>
              </w:rPr>
            </w:pPr>
          </w:p>
          <w:p w14:paraId="17E27292" w14:textId="77777777" w:rsidR="005D7734" w:rsidRPr="005D7734" w:rsidRDefault="009B651E" w:rsidP="005D7734">
            <w:pPr>
              <w:pStyle w:val="ListParagraph"/>
              <w:numPr>
                <w:ilvl w:val="0"/>
                <w:numId w:val="36"/>
              </w:numPr>
              <w:spacing w:after="120"/>
              <w:rPr>
                <w:rFonts w:cs="Arial"/>
                <w:szCs w:val="24"/>
              </w:rPr>
            </w:pPr>
            <w:r w:rsidRPr="005D7734">
              <w:rPr>
                <w:rFonts w:cs="Arial"/>
                <w:szCs w:val="24"/>
              </w:rPr>
              <w:t xml:space="preserve">Increase awareness of best practice in the diagnosis and management of gender dysphoria through active engagement with health professionals; and educate healthcare professionals in the health </w:t>
            </w:r>
            <w:r w:rsidR="00A8689D" w:rsidRPr="005D7734">
              <w:rPr>
                <w:rFonts w:cs="Arial"/>
                <w:szCs w:val="24"/>
              </w:rPr>
              <w:t>and support needs of trans</w:t>
            </w:r>
            <w:r w:rsidRPr="005D7734">
              <w:rPr>
                <w:rFonts w:cs="Arial"/>
                <w:szCs w:val="24"/>
              </w:rPr>
              <w:t xml:space="preserve"> people</w:t>
            </w:r>
            <w:r w:rsidR="00F14C7F" w:rsidRPr="005D7734">
              <w:rPr>
                <w:rFonts w:cs="Arial"/>
                <w:b/>
                <w:szCs w:val="24"/>
              </w:rPr>
              <w:t>.</w:t>
            </w:r>
          </w:p>
          <w:p w14:paraId="65520EFF" w14:textId="77777777" w:rsidR="005D7734" w:rsidRPr="005D7734" w:rsidRDefault="005D7734" w:rsidP="005D7734">
            <w:pPr>
              <w:pStyle w:val="ListParagraph"/>
              <w:rPr>
                <w:rFonts w:cs="Arial"/>
                <w:szCs w:val="24"/>
              </w:rPr>
            </w:pPr>
          </w:p>
          <w:p w14:paraId="20F3BF51" w14:textId="77777777" w:rsidR="005D7734" w:rsidRPr="005D7734" w:rsidRDefault="009B651E" w:rsidP="005D7734">
            <w:pPr>
              <w:pStyle w:val="ListParagraph"/>
              <w:numPr>
                <w:ilvl w:val="0"/>
                <w:numId w:val="36"/>
              </w:numPr>
              <w:spacing w:after="120"/>
              <w:rPr>
                <w:rFonts w:cs="Arial"/>
                <w:szCs w:val="24"/>
              </w:rPr>
            </w:pPr>
            <w:r w:rsidRPr="005D7734">
              <w:rPr>
                <w:rFonts w:cs="Arial"/>
                <w:szCs w:val="24"/>
              </w:rPr>
              <w:t>Collaborate in national and international research projects to increase the evidence base for the commissioning and delivery of spec</w:t>
            </w:r>
            <w:r w:rsidR="00A8689D" w:rsidRPr="005D7734">
              <w:rPr>
                <w:rFonts w:cs="Arial"/>
                <w:szCs w:val="24"/>
              </w:rPr>
              <w:t>ialised services for trans</w:t>
            </w:r>
            <w:r w:rsidRPr="005D7734">
              <w:rPr>
                <w:rFonts w:cs="Arial"/>
                <w:szCs w:val="24"/>
              </w:rPr>
              <w:t xml:space="preserve"> people</w:t>
            </w:r>
            <w:r w:rsidR="00F14C7F" w:rsidRPr="005D7734">
              <w:rPr>
                <w:rFonts w:cs="Arial"/>
                <w:b/>
                <w:szCs w:val="24"/>
              </w:rPr>
              <w:t>.</w:t>
            </w:r>
          </w:p>
          <w:p w14:paraId="41FF4272" w14:textId="77777777" w:rsidR="005D7734" w:rsidRPr="005D7734" w:rsidRDefault="005D7734" w:rsidP="005D7734">
            <w:pPr>
              <w:pStyle w:val="ListParagraph"/>
              <w:rPr>
                <w:rFonts w:cs="Arial"/>
                <w:szCs w:val="24"/>
              </w:rPr>
            </w:pPr>
          </w:p>
          <w:p w14:paraId="432AF209" w14:textId="77777777" w:rsidR="005D7734" w:rsidRPr="005D7734" w:rsidRDefault="009B651E" w:rsidP="005D7734">
            <w:pPr>
              <w:pStyle w:val="ListParagraph"/>
              <w:numPr>
                <w:ilvl w:val="0"/>
                <w:numId w:val="36"/>
              </w:numPr>
              <w:spacing w:after="120"/>
              <w:rPr>
                <w:rFonts w:cs="Arial"/>
                <w:szCs w:val="24"/>
              </w:rPr>
            </w:pPr>
            <w:r w:rsidRPr="005D7734">
              <w:rPr>
                <w:rFonts w:cs="Arial"/>
                <w:szCs w:val="24"/>
              </w:rPr>
              <w:t>Provide support, advice, expertise and training for the local, regional and national network</w:t>
            </w:r>
            <w:r w:rsidR="00F14C7F" w:rsidRPr="005D7734">
              <w:rPr>
                <w:rFonts w:cs="Arial"/>
                <w:b/>
                <w:szCs w:val="24"/>
              </w:rPr>
              <w:t>.</w:t>
            </w:r>
          </w:p>
          <w:p w14:paraId="61942C8B" w14:textId="77777777" w:rsidR="005D7734" w:rsidRPr="005D7734" w:rsidRDefault="005D7734" w:rsidP="005D7734">
            <w:pPr>
              <w:pStyle w:val="ListParagraph"/>
              <w:rPr>
                <w:rFonts w:cs="Arial"/>
                <w:szCs w:val="24"/>
              </w:rPr>
            </w:pPr>
          </w:p>
          <w:p w14:paraId="69C3DD70" w14:textId="77777777" w:rsidR="005D7734" w:rsidRDefault="009B651E" w:rsidP="005D7734">
            <w:pPr>
              <w:pStyle w:val="ListParagraph"/>
              <w:numPr>
                <w:ilvl w:val="0"/>
                <w:numId w:val="36"/>
              </w:numPr>
              <w:spacing w:after="120"/>
              <w:rPr>
                <w:rFonts w:cs="Arial"/>
                <w:szCs w:val="24"/>
              </w:rPr>
            </w:pPr>
            <w:r w:rsidRPr="005D7734">
              <w:rPr>
                <w:rFonts w:cs="Arial"/>
                <w:szCs w:val="24"/>
              </w:rPr>
              <w:t>Collaborate in sharing best practice, peer review, benchmarking, and in the development of research and innovation.</w:t>
            </w:r>
          </w:p>
          <w:p w14:paraId="1A130B00" w14:textId="77777777" w:rsidR="005D7734" w:rsidRPr="005D7734" w:rsidRDefault="005D7734" w:rsidP="005D7734">
            <w:pPr>
              <w:pStyle w:val="ListParagraph"/>
              <w:rPr>
                <w:rFonts w:cs="Arial"/>
                <w:szCs w:val="24"/>
              </w:rPr>
            </w:pPr>
          </w:p>
          <w:p w14:paraId="08D0A166" w14:textId="77777777" w:rsidR="005D7734" w:rsidRDefault="009B651E" w:rsidP="005D7734">
            <w:pPr>
              <w:pStyle w:val="ListParagraph"/>
              <w:numPr>
                <w:ilvl w:val="0"/>
                <w:numId w:val="36"/>
              </w:numPr>
              <w:spacing w:after="120"/>
              <w:rPr>
                <w:rFonts w:cs="Arial"/>
                <w:szCs w:val="24"/>
              </w:rPr>
            </w:pPr>
            <w:r w:rsidRPr="005D7734">
              <w:rPr>
                <w:rFonts w:cs="Arial"/>
                <w:szCs w:val="24"/>
              </w:rPr>
              <w:t>Employ consistent and equitable decision-making about the effective use of resources on the NHS</w:t>
            </w:r>
            <w:r w:rsidR="00A8689D" w:rsidRPr="005D7734">
              <w:rPr>
                <w:rFonts w:cs="Arial"/>
                <w:szCs w:val="24"/>
              </w:rPr>
              <w:t xml:space="preserve"> pathway of care for trans</w:t>
            </w:r>
            <w:r w:rsidR="001D219E" w:rsidRPr="005D7734">
              <w:rPr>
                <w:rFonts w:cs="Arial"/>
                <w:szCs w:val="24"/>
              </w:rPr>
              <w:t xml:space="preserve"> people.</w:t>
            </w:r>
          </w:p>
          <w:p w14:paraId="46CC8153" w14:textId="77777777" w:rsidR="005D7734" w:rsidRPr="005D7734" w:rsidRDefault="005D7734" w:rsidP="005D7734">
            <w:pPr>
              <w:pStyle w:val="ListParagraph"/>
              <w:rPr>
                <w:rFonts w:cs="Arial"/>
                <w:szCs w:val="24"/>
              </w:rPr>
            </w:pPr>
          </w:p>
          <w:p w14:paraId="467D25B5" w14:textId="3F5707BD" w:rsidR="00C039F2" w:rsidRPr="005D7734" w:rsidRDefault="009B651E" w:rsidP="005D7734">
            <w:pPr>
              <w:pStyle w:val="ListParagraph"/>
              <w:numPr>
                <w:ilvl w:val="0"/>
                <w:numId w:val="36"/>
              </w:numPr>
              <w:spacing w:after="120"/>
              <w:rPr>
                <w:rFonts w:cs="Arial"/>
                <w:szCs w:val="24"/>
              </w:rPr>
            </w:pPr>
            <w:r w:rsidRPr="005D7734">
              <w:rPr>
                <w:rFonts w:cs="Arial"/>
                <w:szCs w:val="24"/>
              </w:rPr>
              <w:t>Publicise national a</w:t>
            </w:r>
            <w:r w:rsidR="00A01631" w:rsidRPr="005D7734">
              <w:rPr>
                <w:rFonts w:cs="Arial"/>
                <w:szCs w:val="24"/>
              </w:rPr>
              <w:t xml:space="preserve">nd local patient organisations, </w:t>
            </w:r>
            <w:r w:rsidRPr="005D7734">
              <w:rPr>
                <w:rFonts w:cs="Arial"/>
                <w:szCs w:val="24"/>
              </w:rPr>
              <w:t>which can provide invaluable additional information and ongoing sup</w:t>
            </w:r>
            <w:r w:rsidR="00A8689D" w:rsidRPr="005D7734">
              <w:rPr>
                <w:rFonts w:cs="Arial"/>
                <w:szCs w:val="24"/>
              </w:rPr>
              <w:t>port for trans</w:t>
            </w:r>
            <w:r w:rsidRPr="005D7734">
              <w:rPr>
                <w:rFonts w:cs="Arial"/>
                <w:szCs w:val="24"/>
              </w:rPr>
              <w:t xml:space="preserve"> people and their families</w:t>
            </w:r>
            <w:r w:rsidR="006D0440" w:rsidRPr="005D7734">
              <w:rPr>
                <w:rFonts w:cs="Arial"/>
                <w:szCs w:val="24"/>
              </w:rPr>
              <w:t>.</w:t>
            </w:r>
          </w:p>
          <w:p w14:paraId="4A1C6460" w14:textId="77777777" w:rsidR="00405D43" w:rsidRPr="00CB26F8" w:rsidRDefault="009B651E" w:rsidP="005D7734">
            <w:pPr>
              <w:spacing w:after="120"/>
              <w:rPr>
                <w:rFonts w:cs="Arial"/>
                <w:b/>
                <w:szCs w:val="24"/>
              </w:rPr>
            </w:pPr>
            <w:r w:rsidRPr="00CB26F8">
              <w:rPr>
                <w:rFonts w:cs="Arial"/>
                <w:b/>
                <w:szCs w:val="24"/>
              </w:rPr>
              <w:t>Staffing, structure and governance</w:t>
            </w:r>
          </w:p>
          <w:p w14:paraId="71717CA9" w14:textId="77777777" w:rsidR="005D7734" w:rsidRDefault="009B651E" w:rsidP="005D7734">
            <w:pPr>
              <w:spacing w:after="120"/>
              <w:ind w:left="360"/>
              <w:rPr>
                <w:rFonts w:cs="Arial"/>
                <w:bCs w:val="0"/>
                <w:szCs w:val="24"/>
              </w:rPr>
            </w:pPr>
            <w:r w:rsidRPr="00CB26F8">
              <w:rPr>
                <w:rFonts w:eastAsia="Calibri" w:cs="Arial"/>
                <w:bCs w:val="0"/>
                <w:szCs w:val="24"/>
              </w:rPr>
              <w:t>Each Provider will have:</w:t>
            </w:r>
          </w:p>
          <w:p w14:paraId="0B7FC72D" w14:textId="77777777" w:rsidR="005D7734" w:rsidRPr="005D7734" w:rsidRDefault="009B651E" w:rsidP="005D7734">
            <w:pPr>
              <w:pStyle w:val="ListParagraph"/>
              <w:numPr>
                <w:ilvl w:val="0"/>
                <w:numId w:val="36"/>
              </w:numPr>
              <w:spacing w:after="120"/>
              <w:rPr>
                <w:rFonts w:cs="Arial"/>
                <w:b/>
                <w:szCs w:val="24"/>
              </w:rPr>
            </w:pPr>
            <w:r w:rsidRPr="005D7734">
              <w:rPr>
                <w:rFonts w:eastAsia="Calibri" w:cs="Arial"/>
                <w:bCs w:val="0"/>
                <w:szCs w:val="24"/>
              </w:rPr>
              <w:t xml:space="preserve">A nominated </w:t>
            </w:r>
            <w:r w:rsidR="00C03CFC" w:rsidRPr="005D7734">
              <w:rPr>
                <w:rFonts w:eastAsia="Calibri" w:cs="Arial"/>
                <w:bCs w:val="0"/>
                <w:szCs w:val="24"/>
              </w:rPr>
              <w:t xml:space="preserve">Senior </w:t>
            </w:r>
            <w:r w:rsidRPr="005D7734">
              <w:rPr>
                <w:rFonts w:eastAsia="Calibri" w:cs="Arial"/>
                <w:bCs w:val="0"/>
                <w:szCs w:val="24"/>
              </w:rPr>
              <w:t xml:space="preserve">Clinical Lead, who </w:t>
            </w:r>
            <w:r w:rsidR="008457D3" w:rsidRPr="005D7734">
              <w:rPr>
                <w:rFonts w:eastAsia="Calibri" w:cs="Arial"/>
                <w:bCs w:val="0"/>
                <w:szCs w:val="24"/>
              </w:rPr>
              <w:t>has the key leadership role</w:t>
            </w:r>
            <w:r w:rsidR="008457D3" w:rsidRPr="005D7734">
              <w:rPr>
                <w:szCs w:val="24"/>
              </w:rPr>
              <w:t xml:space="preserve"> </w:t>
            </w:r>
            <w:r w:rsidR="008457D3" w:rsidRPr="005D7734">
              <w:rPr>
                <w:rFonts w:eastAsia="Calibri" w:cs="Arial"/>
                <w:bCs w:val="0"/>
                <w:szCs w:val="24"/>
              </w:rPr>
              <w:t xml:space="preserve">for the service overall. The Senior Clinical Lead must </w:t>
            </w:r>
            <w:r w:rsidRPr="005D7734">
              <w:rPr>
                <w:rFonts w:eastAsia="Calibri" w:cs="Arial"/>
                <w:bCs w:val="0"/>
                <w:szCs w:val="24"/>
              </w:rPr>
              <w:t>demonstrate evidence of appropriate experience and expertise in specialised gender dysphoria practice</w:t>
            </w:r>
            <w:r w:rsidR="00E10072" w:rsidRPr="005D7734">
              <w:rPr>
                <w:rFonts w:eastAsia="Calibri" w:cs="Arial"/>
                <w:bCs w:val="0"/>
                <w:szCs w:val="24"/>
              </w:rPr>
              <w:t>;</w:t>
            </w:r>
            <w:r w:rsidR="00C03CFC" w:rsidRPr="005D7734">
              <w:rPr>
                <w:rFonts w:eastAsia="Calibri" w:cs="Arial"/>
                <w:bCs w:val="0"/>
                <w:szCs w:val="24"/>
              </w:rPr>
              <w:t xml:space="preserve"> </w:t>
            </w:r>
            <w:r w:rsidR="008457D3" w:rsidRPr="005D7734">
              <w:rPr>
                <w:rFonts w:cs="Arial"/>
                <w:szCs w:val="24"/>
              </w:rPr>
              <w:t>significant management experience; and significant evidence of continued professional development.</w:t>
            </w:r>
          </w:p>
          <w:p w14:paraId="2BC1EAFF" w14:textId="77777777" w:rsidR="005D7734" w:rsidRPr="005D7734" w:rsidRDefault="005D7734" w:rsidP="005D7734">
            <w:pPr>
              <w:pStyle w:val="ListParagraph"/>
              <w:spacing w:after="120"/>
              <w:ind w:left="360"/>
              <w:rPr>
                <w:rFonts w:cs="Arial"/>
                <w:b/>
                <w:szCs w:val="24"/>
              </w:rPr>
            </w:pPr>
          </w:p>
          <w:p w14:paraId="658C0FBD" w14:textId="5C643630" w:rsidR="00E10072" w:rsidRPr="005D7734" w:rsidRDefault="009B651E" w:rsidP="005D7734">
            <w:pPr>
              <w:pStyle w:val="ListParagraph"/>
              <w:numPr>
                <w:ilvl w:val="0"/>
                <w:numId w:val="36"/>
              </w:numPr>
              <w:spacing w:after="120"/>
              <w:rPr>
                <w:rFonts w:cs="Arial"/>
                <w:b/>
                <w:szCs w:val="24"/>
              </w:rPr>
            </w:pPr>
            <w:r w:rsidRPr="005D7734">
              <w:rPr>
                <w:rFonts w:eastAsia="Calibri" w:cs="Arial"/>
                <w:bCs w:val="0"/>
                <w:szCs w:val="24"/>
              </w:rPr>
              <w:t>A specialist multi-disciplinary team of professionals, with a mix of skills, experience and expertise that is appropriate to ensure the delivery of effective and high</w:t>
            </w:r>
            <w:r w:rsidR="00541415" w:rsidRPr="005D7734">
              <w:rPr>
                <w:rFonts w:eastAsia="Calibri" w:cs="Arial"/>
                <w:bCs w:val="0"/>
                <w:szCs w:val="24"/>
              </w:rPr>
              <w:t>-</w:t>
            </w:r>
            <w:r w:rsidRPr="005D7734">
              <w:rPr>
                <w:rFonts w:eastAsia="Calibri" w:cs="Arial"/>
                <w:bCs w:val="0"/>
                <w:szCs w:val="24"/>
              </w:rPr>
              <w:t>quality services in accordance with the requiremen</w:t>
            </w:r>
            <w:r w:rsidR="006D0440" w:rsidRPr="005D7734">
              <w:rPr>
                <w:rFonts w:eastAsia="Calibri" w:cs="Arial"/>
                <w:bCs w:val="0"/>
                <w:szCs w:val="24"/>
              </w:rPr>
              <w:t>ts of this service specification.</w:t>
            </w:r>
            <w:r w:rsidR="00152E3A" w:rsidRPr="005D7734">
              <w:rPr>
                <w:rFonts w:eastAsia="Calibri" w:cs="Arial"/>
                <w:bCs w:val="0"/>
                <w:szCs w:val="24"/>
              </w:rPr>
              <w:t xml:space="preserve"> </w:t>
            </w:r>
            <w:r w:rsidR="00D41067" w:rsidRPr="005D7734">
              <w:rPr>
                <w:rFonts w:eastAsia="Calibri" w:cs="Arial"/>
                <w:bCs w:val="0"/>
                <w:szCs w:val="24"/>
              </w:rPr>
              <w:t>The multi-disciplinary team will</w:t>
            </w:r>
            <w:r w:rsidR="0035359C" w:rsidRPr="005D7734">
              <w:rPr>
                <w:rFonts w:eastAsia="Calibri" w:cs="Arial"/>
                <w:bCs w:val="0"/>
                <w:szCs w:val="24"/>
              </w:rPr>
              <w:t xml:space="preserve"> have</w:t>
            </w:r>
            <w:r w:rsidR="00E10072" w:rsidRPr="005D7734">
              <w:rPr>
                <w:rFonts w:eastAsia="Calibri" w:cs="Arial"/>
                <w:bCs w:val="0"/>
                <w:szCs w:val="24"/>
              </w:rPr>
              <w:t xml:space="preserve"> the following competencies:</w:t>
            </w:r>
          </w:p>
          <w:p w14:paraId="4944A92A" w14:textId="77777777" w:rsidR="00E10072" w:rsidRPr="00E10072" w:rsidRDefault="00E10072" w:rsidP="00753AAE">
            <w:pPr>
              <w:numPr>
                <w:ilvl w:val="0"/>
                <w:numId w:val="20"/>
              </w:numPr>
              <w:spacing w:after="120"/>
              <w:rPr>
                <w:rFonts w:eastAsia="Calibri" w:cs="Arial"/>
                <w:bCs w:val="0"/>
                <w:szCs w:val="24"/>
              </w:rPr>
            </w:pPr>
            <w:r w:rsidRPr="00E10072">
              <w:rPr>
                <w:rFonts w:eastAsia="Calibri" w:cs="Arial"/>
                <w:bCs w:val="0"/>
                <w:szCs w:val="24"/>
              </w:rPr>
              <w:t>Comprehensive mastery of clinical aspects of gender identity development and expression, formulation and diagnosis of gender identity-related bio-psycho-social concerns, and the</w:t>
            </w:r>
            <w:r>
              <w:rPr>
                <w:rFonts w:eastAsia="Calibri" w:cs="Arial"/>
                <w:bCs w:val="0"/>
                <w:szCs w:val="24"/>
              </w:rPr>
              <w:t xml:space="preserve"> management of gender dysphoria</w:t>
            </w:r>
          </w:p>
          <w:p w14:paraId="6A1A927D" w14:textId="77777777" w:rsidR="00E10072" w:rsidRPr="00E10072" w:rsidRDefault="00E10072" w:rsidP="00753AAE">
            <w:pPr>
              <w:numPr>
                <w:ilvl w:val="0"/>
                <w:numId w:val="20"/>
              </w:numPr>
              <w:spacing w:after="120"/>
              <w:rPr>
                <w:rFonts w:eastAsia="Calibri" w:cs="Arial"/>
                <w:bCs w:val="0"/>
                <w:szCs w:val="24"/>
              </w:rPr>
            </w:pPr>
            <w:r w:rsidRPr="00E10072">
              <w:rPr>
                <w:rFonts w:eastAsia="Calibri" w:cs="Arial"/>
                <w:bCs w:val="0"/>
                <w:szCs w:val="24"/>
              </w:rPr>
              <w:t>Expertise in sex development, and endocrine intervention in the treatment of gender identity-related bio-psycho-socia</w:t>
            </w:r>
            <w:r>
              <w:rPr>
                <w:rFonts w:eastAsia="Calibri" w:cs="Arial"/>
                <w:bCs w:val="0"/>
                <w:szCs w:val="24"/>
              </w:rPr>
              <w:t>l concerns and gender dysphoria</w:t>
            </w:r>
          </w:p>
          <w:p w14:paraId="1872A446" w14:textId="77777777" w:rsidR="00544DBB" w:rsidRDefault="00544DBB" w:rsidP="00753AAE">
            <w:pPr>
              <w:numPr>
                <w:ilvl w:val="0"/>
                <w:numId w:val="20"/>
              </w:numPr>
              <w:spacing w:after="120"/>
              <w:rPr>
                <w:rFonts w:eastAsia="Calibri" w:cs="Arial"/>
                <w:bCs w:val="0"/>
                <w:szCs w:val="24"/>
              </w:rPr>
            </w:pPr>
            <w:r w:rsidRPr="00544DBB">
              <w:rPr>
                <w:rFonts w:eastAsia="Calibri" w:cs="Arial"/>
                <w:bCs w:val="0"/>
                <w:szCs w:val="24"/>
              </w:rPr>
              <w:t xml:space="preserve">Expertise in physical health care needs that are specific to </w:t>
            </w:r>
            <w:r>
              <w:rPr>
                <w:rFonts w:eastAsia="Calibri" w:cs="Arial"/>
                <w:bCs w:val="0"/>
                <w:szCs w:val="24"/>
              </w:rPr>
              <w:t>individuals with gender dysphoria</w:t>
            </w:r>
          </w:p>
          <w:p w14:paraId="0114C343" w14:textId="77777777" w:rsidR="00E10072" w:rsidRPr="00544DBB" w:rsidRDefault="00544DBB" w:rsidP="00753AAE">
            <w:pPr>
              <w:numPr>
                <w:ilvl w:val="0"/>
                <w:numId w:val="20"/>
              </w:numPr>
              <w:spacing w:after="120"/>
              <w:rPr>
                <w:rFonts w:eastAsia="Calibri" w:cs="Arial"/>
                <w:bCs w:val="0"/>
                <w:szCs w:val="24"/>
              </w:rPr>
            </w:pPr>
            <w:r>
              <w:rPr>
                <w:rFonts w:eastAsia="Calibri" w:cs="Arial"/>
                <w:bCs w:val="0"/>
                <w:szCs w:val="24"/>
              </w:rPr>
              <w:t>E</w:t>
            </w:r>
            <w:r w:rsidR="00E10072" w:rsidRPr="00544DBB">
              <w:rPr>
                <w:rFonts w:eastAsia="Calibri" w:cs="Arial"/>
                <w:bCs w:val="0"/>
                <w:szCs w:val="24"/>
              </w:rPr>
              <w:t>xpertise in mental health care</w:t>
            </w:r>
            <w:r w:rsidR="00DF5160" w:rsidRPr="00C246E6">
              <w:rPr>
                <w:rFonts w:eastAsia="Calibri" w:cs="Arial"/>
                <w:bCs w:val="0"/>
                <w:szCs w:val="24"/>
              </w:rPr>
              <w:t xml:space="preserve"> needs </w:t>
            </w:r>
            <w:r>
              <w:rPr>
                <w:rFonts w:eastAsia="Calibri" w:cs="Arial"/>
                <w:bCs w:val="0"/>
                <w:szCs w:val="24"/>
              </w:rPr>
              <w:t xml:space="preserve">that are specific to </w:t>
            </w:r>
            <w:r w:rsidR="00DF5160" w:rsidRPr="00C246E6">
              <w:rPr>
                <w:rFonts w:eastAsia="Calibri" w:cs="Arial"/>
                <w:bCs w:val="0"/>
                <w:szCs w:val="24"/>
              </w:rPr>
              <w:t>individuals with gender dysphoria</w:t>
            </w:r>
          </w:p>
          <w:p w14:paraId="14938CCD" w14:textId="77777777" w:rsidR="00544DBB" w:rsidRPr="00DF5160" w:rsidRDefault="00544DBB" w:rsidP="00753AAE">
            <w:pPr>
              <w:numPr>
                <w:ilvl w:val="0"/>
                <w:numId w:val="20"/>
              </w:numPr>
              <w:spacing w:after="120"/>
              <w:rPr>
                <w:rFonts w:eastAsia="Calibri" w:cs="Arial"/>
                <w:bCs w:val="0"/>
                <w:szCs w:val="24"/>
              </w:rPr>
            </w:pPr>
            <w:r w:rsidRPr="00544DBB">
              <w:rPr>
                <w:rFonts w:eastAsia="Calibri" w:cs="Arial"/>
                <w:bCs w:val="0"/>
                <w:szCs w:val="24"/>
              </w:rPr>
              <w:t xml:space="preserve">Expertise in social inclusion and care needs that are specific to </w:t>
            </w:r>
            <w:r>
              <w:rPr>
                <w:rFonts w:eastAsia="Calibri" w:cs="Arial"/>
                <w:bCs w:val="0"/>
                <w:szCs w:val="24"/>
              </w:rPr>
              <w:t>individuals with gender dysphoria</w:t>
            </w:r>
          </w:p>
          <w:p w14:paraId="7B8D556F" w14:textId="77777777" w:rsidR="00E10072" w:rsidRPr="00E10072" w:rsidRDefault="00E10072" w:rsidP="00753AAE">
            <w:pPr>
              <w:numPr>
                <w:ilvl w:val="0"/>
                <w:numId w:val="20"/>
              </w:numPr>
              <w:spacing w:after="120"/>
              <w:rPr>
                <w:rFonts w:eastAsia="Calibri" w:cs="Arial"/>
                <w:bCs w:val="0"/>
                <w:szCs w:val="24"/>
              </w:rPr>
            </w:pPr>
            <w:r w:rsidRPr="00E10072">
              <w:rPr>
                <w:rFonts w:eastAsia="Calibri" w:cs="Arial"/>
                <w:bCs w:val="0"/>
                <w:szCs w:val="24"/>
              </w:rPr>
              <w:t>Expertise in gender-specific voice and</w:t>
            </w:r>
            <w:r>
              <w:rPr>
                <w:rFonts w:eastAsia="Calibri" w:cs="Arial"/>
                <w:bCs w:val="0"/>
                <w:szCs w:val="24"/>
              </w:rPr>
              <w:t xml:space="preserve"> communication development</w:t>
            </w:r>
          </w:p>
          <w:p w14:paraId="78137B2B" w14:textId="77777777" w:rsidR="00E10072" w:rsidRDefault="00667813" w:rsidP="00753AAE">
            <w:pPr>
              <w:numPr>
                <w:ilvl w:val="0"/>
                <w:numId w:val="20"/>
              </w:numPr>
              <w:spacing w:after="120"/>
              <w:rPr>
                <w:rFonts w:eastAsia="Calibri" w:cs="Arial"/>
                <w:bCs w:val="0"/>
                <w:szCs w:val="24"/>
              </w:rPr>
            </w:pPr>
            <w:r>
              <w:rPr>
                <w:rFonts w:eastAsia="Calibri" w:cs="Arial"/>
                <w:bCs w:val="0"/>
                <w:szCs w:val="24"/>
              </w:rPr>
              <w:t>Good professional k</w:t>
            </w:r>
            <w:r w:rsidR="00E10072" w:rsidRPr="00E10072">
              <w:rPr>
                <w:rFonts w:eastAsia="Calibri" w:cs="Arial"/>
                <w:bCs w:val="0"/>
                <w:szCs w:val="24"/>
              </w:rPr>
              <w:t>nowledge of specific psychological therapy, as relevant to the care of a tran</w:t>
            </w:r>
            <w:r w:rsidR="00E10072">
              <w:rPr>
                <w:rFonts w:eastAsia="Calibri" w:cs="Arial"/>
                <w:bCs w:val="0"/>
                <w:szCs w:val="24"/>
              </w:rPr>
              <w:t>s and gender-diverse population</w:t>
            </w:r>
          </w:p>
          <w:p w14:paraId="1E69222D" w14:textId="77777777" w:rsidR="00667813" w:rsidRPr="00E10072" w:rsidRDefault="00667813" w:rsidP="00753AAE">
            <w:pPr>
              <w:numPr>
                <w:ilvl w:val="0"/>
                <w:numId w:val="20"/>
              </w:numPr>
              <w:spacing w:after="120"/>
              <w:rPr>
                <w:rFonts w:eastAsia="Calibri" w:cs="Arial"/>
                <w:bCs w:val="0"/>
                <w:szCs w:val="24"/>
              </w:rPr>
            </w:pPr>
            <w:r>
              <w:rPr>
                <w:rFonts w:eastAsia="Calibri" w:cs="Arial"/>
                <w:bCs w:val="0"/>
                <w:szCs w:val="24"/>
              </w:rPr>
              <w:t>Good professional knowledge of neuro</w:t>
            </w:r>
            <w:r w:rsidR="00A01631">
              <w:rPr>
                <w:rFonts w:eastAsia="Calibri" w:cs="Arial"/>
                <w:bCs w:val="0"/>
                <w:szCs w:val="24"/>
              </w:rPr>
              <w:t>-</w:t>
            </w:r>
            <w:r>
              <w:rPr>
                <w:rFonts w:eastAsia="Calibri" w:cs="Arial"/>
                <w:bCs w:val="0"/>
                <w:szCs w:val="24"/>
              </w:rPr>
              <w:t>developmental conditions, including autism spectrum condition, and of adjustments to facilitate optimal communication with affected people</w:t>
            </w:r>
          </w:p>
          <w:p w14:paraId="4250CE12" w14:textId="77777777" w:rsidR="00E10072" w:rsidRDefault="00667813" w:rsidP="00753AAE">
            <w:pPr>
              <w:numPr>
                <w:ilvl w:val="0"/>
                <w:numId w:val="20"/>
              </w:numPr>
              <w:spacing w:after="120"/>
              <w:rPr>
                <w:rFonts w:eastAsia="Calibri" w:cs="Arial"/>
                <w:bCs w:val="0"/>
                <w:szCs w:val="24"/>
              </w:rPr>
            </w:pPr>
            <w:r>
              <w:rPr>
                <w:rFonts w:eastAsia="Calibri" w:cs="Arial"/>
                <w:bCs w:val="0"/>
                <w:szCs w:val="24"/>
              </w:rPr>
              <w:t>Good professional k</w:t>
            </w:r>
            <w:r w:rsidR="00E10072">
              <w:rPr>
                <w:rFonts w:eastAsia="Calibri" w:cs="Arial"/>
                <w:bCs w:val="0"/>
                <w:szCs w:val="24"/>
              </w:rPr>
              <w:t>nowledge of trichology</w:t>
            </w:r>
          </w:p>
          <w:p w14:paraId="30FE6B72" w14:textId="77777777" w:rsidR="00667813" w:rsidRPr="00DF167F" w:rsidRDefault="00667813" w:rsidP="00753AAE">
            <w:pPr>
              <w:numPr>
                <w:ilvl w:val="0"/>
                <w:numId w:val="20"/>
              </w:numPr>
              <w:spacing w:after="120"/>
              <w:rPr>
                <w:rFonts w:eastAsia="Calibri" w:cs="Arial"/>
                <w:bCs w:val="0"/>
                <w:szCs w:val="24"/>
              </w:rPr>
            </w:pPr>
            <w:r>
              <w:rPr>
                <w:rFonts w:eastAsia="Calibri" w:cs="Arial"/>
                <w:bCs w:val="0"/>
                <w:szCs w:val="24"/>
              </w:rPr>
              <w:t>Good professional knowledge of the care needs of individuals who are receiving specialised gender-related surgical procedures</w:t>
            </w:r>
          </w:p>
          <w:p w14:paraId="5D208C83" w14:textId="77777777" w:rsidR="005D7734" w:rsidRPr="005D7734" w:rsidRDefault="009B651E" w:rsidP="005D7734">
            <w:pPr>
              <w:pStyle w:val="ListParagraph"/>
              <w:numPr>
                <w:ilvl w:val="0"/>
                <w:numId w:val="36"/>
              </w:numPr>
              <w:spacing w:after="120"/>
              <w:rPr>
                <w:rFonts w:cs="Arial"/>
                <w:b/>
                <w:szCs w:val="24"/>
              </w:rPr>
            </w:pPr>
            <w:r w:rsidRPr="005D7734">
              <w:rPr>
                <w:rFonts w:cs="Arial"/>
                <w:szCs w:val="24"/>
              </w:rPr>
              <w:t xml:space="preserve">A robust system of clinical governance that ensures, </w:t>
            </w:r>
            <w:r w:rsidRPr="005D7734">
              <w:rPr>
                <w:rFonts w:cs="Arial"/>
                <w:i/>
                <w:szCs w:val="24"/>
              </w:rPr>
              <w:t>inter alia</w:t>
            </w:r>
            <w:r w:rsidRPr="005D7734">
              <w:rPr>
                <w:rFonts w:cs="Arial"/>
                <w:szCs w:val="24"/>
              </w:rPr>
              <w:t>, all clinical staff are trained in meeting</w:t>
            </w:r>
            <w:r w:rsidR="00A8689D" w:rsidRPr="005D7734">
              <w:rPr>
                <w:rFonts w:cs="Arial"/>
                <w:szCs w:val="24"/>
              </w:rPr>
              <w:t xml:space="preserve"> the health needs of trans</w:t>
            </w:r>
            <w:r w:rsidRPr="005D7734">
              <w:rPr>
                <w:rFonts w:cs="Arial"/>
                <w:szCs w:val="24"/>
              </w:rPr>
              <w:t xml:space="preserve"> </w:t>
            </w:r>
            <w:proofErr w:type="gramStart"/>
            <w:r w:rsidRPr="005D7734">
              <w:rPr>
                <w:rFonts w:cs="Arial"/>
                <w:szCs w:val="24"/>
              </w:rPr>
              <w:t>people, and</w:t>
            </w:r>
            <w:proofErr w:type="gramEnd"/>
            <w:r w:rsidRPr="005D7734">
              <w:rPr>
                <w:rFonts w:cs="Arial"/>
                <w:szCs w:val="24"/>
              </w:rPr>
              <w:t xml:space="preserve"> deemed competent to deliver the</w:t>
            </w:r>
            <w:r w:rsidR="006D0440" w:rsidRPr="005D7734">
              <w:rPr>
                <w:rFonts w:cs="Arial"/>
                <w:szCs w:val="24"/>
              </w:rPr>
              <w:t xml:space="preserve"> interventions as per their role.</w:t>
            </w:r>
          </w:p>
          <w:p w14:paraId="652C6511" w14:textId="77777777" w:rsidR="005D7734" w:rsidRPr="005D7734" w:rsidRDefault="005D7734" w:rsidP="005D7734">
            <w:pPr>
              <w:pStyle w:val="ListParagraph"/>
              <w:spacing w:after="120"/>
              <w:ind w:left="360"/>
              <w:rPr>
                <w:rFonts w:cs="Arial"/>
                <w:b/>
                <w:szCs w:val="24"/>
              </w:rPr>
            </w:pPr>
          </w:p>
          <w:p w14:paraId="0404EDCD" w14:textId="77777777" w:rsidR="005D7734" w:rsidRDefault="009B651E" w:rsidP="005D7734">
            <w:pPr>
              <w:pStyle w:val="ListParagraph"/>
              <w:numPr>
                <w:ilvl w:val="0"/>
                <w:numId w:val="36"/>
              </w:numPr>
              <w:spacing w:after="120"/>
              <w:rPr>
                <w:rFonts w:cs="Arial"/>
                <w:b/>
                <w:szCs w:val="24"/>
              </w:rPr>
            </w:pPr>
            <w:r w:rsidRPr="005D7734">
              <w:rPr>
                <w:rFonts w:cs="Arial"/>
                <w:szCs w:val="24"/>
              </w:rPr>
              <w:t>A robust system of corporate governance, including a nominated senior manager, that demonstrates effective management, guidance, oversight and accountability by the host organisation (Board level or equivalent)</w:t>
            </w:r>
            <w:r w:rsidR="00405D43" w:rsidRPr="005D7734">
              <w:rPr>
                <w:rFonts w:cs="Arial"/>
                <w:b/>
                <w:szCs w:val="24"/>
              </w:rPr>
              <w:t>.</w:t>
            </w:r>
          </w:p>
          <w:p w14:paraId="4C23876C" w14:textId="77777777" w:rsidR="005D7734" w:rsidRPr="005D7734" w:rsidRDefault="005D7734" w:rsidP="005D7734">
            <w:pPr>
              <w:pStyle w:val="ListParagraph"/>
              <w:rPr>
                <w:rFonts w:cs="Arial"/>
                <w:szCs w:val="24"/>
              </w:rPr>
            </w:pPr>
          </w:p>
          <w:p w14:paraId="21772572" w14:textId="77777777" w:rsidR="005D7734" w:rsidRDefault="009B651E" w:rsidP="005D7734">
            <w:pPr>
              <w:pStyle w:val="ListParagraph"/>
              <w:numPr>
                <w:ilvl w:val="0"/>
                <w:numId w:val="36"/>
              </w:numPr>
              <w:spacing w:after="120"/>
              <w:rPr>
                <w:rFonts w:cs="Arial"/>
                <w:b/>
                <w:szCs w:val="24"/>
              </w:rPr>
            </w:pPr>
            <w:r w:rsidRPr="005D7734">
              <w:rPr>
                <w:rFonts w:cs="Arial"/>
                <w:szCs w:val="24"/>
              </w:rPr>
              <w:t xml:space="preserve">Arrangements in place to ensure that </w:t>
            </w:r>
            <w:r w:rsidR="00A01631" w:rsidRPr="005D7734">
              <w:rPr>
                <w:rFonts w:cs="Arial"/>
                <w:szCs w:val="24"/>
              </w:rPr>
              <w:t xml:space="preserve">the </w:t>
            </w:r>
            <w:r w:rsidRPr="005D7734">
              <w:rPr>
                <w:rFonts w:cs="Arial"/>
                <w:szCs w:val="24"/>
              </w:rPr>
              <w:t>service deliver</w:t>
            </w:r>
            <w:r w:rsidR="0035359C" w:rsidRPr="005D7734">
              <w:rPr>
                <w:rFonts w:cs="Arial"/>
                <w:szCs w:val="24"/>
              </w:rPr>
              <w:t>s</w:t>
            </w:r>
            <w:r w:rsidRPr="005D7734">
              <w:rPr>
                <w:rFonts w:cs="Arial"/>
                <w:szCs w:val="24"/>
              </w:rPr>
              <w:t xml:space="preserve"> culturally appropriate care and support; individuals must be able to access services in a way that ensures their cultural, language and communication needs do not prevent them receiving the same quality of healthcare as others</w:t>
            </w:r>
            <w:r w:rsidR="00405D43" w:rsidRPr="005D7734">
              <w:rPr>
                <w:rFonts w:cs="Arial"/>
                <w:b/>
                <w:szCs w:val="24"/>
              </w:rPr>
              <w:t>.</w:t>
            </w:r>
          </w:p>
          <w:p w14:paraId="72E43923" w14:textId="77777777" w:rsidR="005D7734" w:rsidRPr="005D7734" w:rsidRDefault="005D7734" w:rsidP="005D7734">
            <w:pPr>
              <w:pStyle w:val="ListParagraph"/>
              <w:rPr>
                <w:rFonts w:cs="Arial"/>
                <w:szCs w:val="24"/>
              </w:rPr>
            </w:pPr>
          </w:p>
          <w:p w14:paraId="011781F4" w14:textId="77777777" w:rsidR="005D7734" w:rsidRDefault="009B651E" w:rsidP="005D7734">
            <w:pPr>
              <w:pStyle w:val="ListParagraph"/>
              <w:numPr>
                <w:ilvl w:val="0"/>
                <w:numId w:val="36"/>
              </w:numPr>
              <w:spacing w:after="120"/>
              <w:rPr>
                <w:rFonts w:cs="Arial"/>
                <w:b/>
                <w:szCs w:val="24"/>
              </w:rPr>
            </w:pPr>
            <w:r w:rsidRPr="005D7734">
              <w:rPr>
                <w:rFonts w:cs="Arial"/>
                <w:szCs w:val="24"/>
              </w:rPr>
              <w:t xml:space="preserve">Sufficient administrative and managerial support </w:t>
            </w:r>
            <w:r w:rsidR="00A01631" w:rsidRPr="005D7734">
              <w:rPr>
                <w:rFonts w:cs="Arial"/>
                <w:szCs w:val="24"/>
              </w:rPr>
              <w:t>needed for</w:t>
            </w:r>
            <w:r w:rsidRPr="005D7734">
              <w:rPr>
                <w:rFonts w:cs="Arial"/>
                <w:szCs w:val="24"/>
              </w:rPr>
              <w:t xml:space="preserve"> efficient and timely delivery of services</w:t>
            </w:r>
            <w:r w:rsidR="00405D43" w:rsidRPr="005D7734">
              <w:rPr>
                <w:rFonts w:cs="Arial"/>
                <w:b/>
                <w:szCs w:val="24"/>
              </w:rPr>
              <w:t>.</w:t>
            </w:r>
          </w:p>
          <w:p w14:paraId="7DE11A85" w14:textId="77777777" w:rsidR="005D7734" w:rsidRPr="005D7734" w:rsidRDefault="005D7734" w:rsidP="005D7734">
            <w:pPr>
              <w:pStyle w:val="ListParagraph"/>
              <w:rPr>
                <w:rFonts w:cs="Arial"/>
                <w:szCs w:val="24"/>
              </w:rPr>
            </w:pPr>
          </w:p>
          <w:p w14:paraId="55DFAAB7" w14:textId="77777777" w:rsidR="005D7734" w:rsidRPr="005D7734" w:rsidRDefault="009B651E" w:rsidP="005D7734">
            <w:pPr>
              <w:pStyle w:val="ListParagraph"/>
              <w:numPr>
                <w:ilvl w:val="0"/>
                <w:numId w:val="36"/>
              </w:numPr>
              <w:spacing w:after="120"/>
              <w:rPr>
                <w:rFonts w:cs="Arial"/>
                <w:b/>
                <w:szCs w:val="24"/>
              </w:rPr>
            </w:pPr>
            <w:r w:rsidRPr="005D7734">
              <w:rPr>
                <w:rFonts w:cs="Arial"/>
                <w:szCs w:val="24"/>
              </w:rPr>
              <w:t xml:space="preserve">Information and </w:t>
            </w:r>
            <w:r w:rsidR="006D0440" w:rsidRPr="005D7734">
              <w:rPr>
                <w:rFonts w:cs="Arial"/>
                <w:szCs w:val="24"/>
              </w:rPr>
              <w:t xml:space="preserve">technology systems that enable </w:t>
            </w:r>
            <w:r w:rsidRPr="005D7734">
              <w:rPr>
                <w:rFonts w:cs="Arial"/>
                <w:szCs w:val="24"/>
              </w:rPr>
              <w:t>patient contact remotely (such as video and web consultations</w:t>
            </w:r>
            <w:r w:rsidR="006D0440" w:rsidRPr="005D7734">
              <w:rPr>
                <w:rFonts w:cs="Arial"/>
                <w:szCs w:val="24"/>
              </w:rPr>
              <w:t>)</w:t>
            </w:r>
            <w:r w:rsidR="00152E3A" w:rsidRPr="005D7734">
              <w:rPr>
                <w:rFonts w:cs="Arial"/>
                <w:szCs w:val="24"/>
              </w:rPr>
              <w:t xml:space="preserve"> where this is appropriate to the individual’s circumstances</w:t>
            </w:r>
            <w:r w:rsidR="006D0440" w:rsidRPr="005D7734">
              <w:rPr>
                <w:rFonts w:cs="Arial"/>
                <w:szCs w:val="24"/>
              </w:rPr>
              <w:t xml:space="preserve">; and </w:t>
            </w:r>
            <w:r w:rsidRPr="005D7734">
              <w:rPr>
                <w:rFonts w:cs="Arial"/>
                <w:szCs w:val="24"/>
              </w:rPr>
              <w:t>the effective submission of data, including the reporting requirements of the national Referral to Treatment waiting time standards</w:t>
            </w:r>
            <w:r w:rsidR="006D0440" w:rsidRPr="005D7734">
              <w:rPr>
                <w:rFonts w:cs="Arial"/>
                <w:szCs w:val="24"/>
              </w:rPr>
              <w:t>.</w:t>
            </w:r>
          </w:p>
          <w:p w14:paraId="00A5051A" w14:textId="77777777" w:rsidR="005D7734" w:rsidRPr="005D7734" w:rsidRDefault="005D7734" w:rsidP="005D7734">
            <w:pPr>
              <w:pStyle w:val="ListParagraph"/>
              <w:rPr>
                <w:rFonts w:cs="Arial"/>
                <w:szCs w:val="24"/>
              </w:rPr>
            </w:pPr>
          </w:p>
          <w:p w14:paraId="061FF735" w14:textId="77777777" w:rsidR="005D7734" w:rsidRDefault="006D0440" w:rsidP="005D7734">
            <w:pPr>
              <w:pStyle w:val="ListParagraph"/>
              <w:numPr>
                <w:ilvl w:val="0"/>
                <w:numId w:val="36"/>
              </w:numPr>
              <w:spacing w:after="120"/>
              <w:rPr>
                <w:rFonts w:cs="Arial"/>
                <w:b/>
                <w:szCs w:val="24"/>
              </w:rPr>
            </w:pPr>
            <w:r w:rsidRPr="005D7734">
              <w:rPr>
                <w:rFonts w:cs="Arial"/>
                <w:szCs w:val="24"/>
              </w:rPr>
              <w:t>P</w:t>
            </w:r>
            <w:r w:rsidR="009B651E" w:rsidRPr="005D7734">
              <w:rPr>
                <w:rFonts w:cs="Arial"/>
                <w:szCs w:val="24"/>
              </w:rPr>
              <w:t>remises that are appropriate to ensure effective delivery of the services described in this service specification; and in an environment that service users regard as safe and welcoming</w:t>
            </w:r>
            <w:r w:rsidR="00405D43" w:rsidRPr="005D7734">
              <w:rPr>
                <w:rFonts w:cs="Arial"/>
                <w:b/>
                <w:szCs w:val="24"/>
              </w:rPr>
              <w:t>.</w:t>
            </w:r>
          </w:p>
          <w:p w14:paraId="135B52FF" w14:textId="77777777" w:rsidR="005D7734" w:rsidRPr="005D7734" w:rsidRDefault="005D7734" w:rsidP="005D7734">
            <w:pPr>
              <w:pStyle w:val="ListParagraph"/>
              <w:rPr>
                <w:rFonts w:eastAsia="Calibri" w:cs="Arial"/>
                <w:bCs w:val="0"/>
                <w:szCs w:val="24"/>
              </w:rPr>
            </w:pPr>
          </w:p>
          <w:p w14:paraId="2B327C6A" w14:textId="77777777" w:rsidR="005D7734" w:rsidRDefault="009B651E" w:rsidP="005D7734">
            <w:pPr>
              <w:pStyle w:val="ListParagraph"/>
              <w:numPr>
                <w:ilvl w:val="0"/>
                <w:numId w:val="36"/>
              </w:numPr>
              <w:spacing w:after="120"/>
              <w:rPr>
                <w:rFonts w:cs="Arial"/>
                <w:b/>
                <w:szCs w:val="24"/>
              </w:rPr>
            </w:pPr>
            <w:r w:rsidRPr="005D7734">
              <w:rPr>
                <w:rFonts w:eastAsia="Calibri" w:cs="Arial"/>
                <w:bCs w:val="0"/>
                <w:szCs w:val="24"/>
              </w:rPr>
              <w:t>Arrangements in place (including ongoing training) to ensure that all staff in public-facing roles have cultural sensitivity towards trans and gender diverse people’s health and social care needs</w:t>
            </w:r>
            <w:r w:rsidR="00405D43" w:rsidRPr="005D7734">
              <w:rPr>
                <w:rFonts w:cs="Arial"/>
                <w:b/>
                <w:szCs w:val="24"/>
              </w:rPr>
              <w:t>.</w:t>
            </w:r>
          </w:p>
          <w:p w14:paraId="4ADBBCCF" w14:textId="77777777" w:rsidR="005D7734" w:rsidRPr="005D7734" w:rsidRDefault="005D7734" w:rsidP="005D7734">
            <w:pPr>
              <w:pStyle w:val="ListParagraph"/>
              <w:rPr>
                <w:rFonts w:eastAsia="Calibri" w:cs="Arial"/>
                <w:bCs w:val="0"/>
                <w:szCs w:val="24"/>
              </w:rPr>
            </w:pPr>
          </w:p>
          <w:p w14:paraId="53F48D5E" w14:textId="77777777" w:rsidR="005D7734" w:rsidRPr="005D7734" w:rsidRDefault="009B651E" w:rsidP="005D7734">
            <w:pPr>
              <w:pStyle w:val="ListParagraph"/>
              <w:numPr>
                <w:ilvl w:val="0"/>
                <w:numId w:val="36"/>
              </w:numPr>
              <w:spacing w:after="120"/>
              <w:rPr>
                <w:rFonts w:cs="Arial"/>
                <w:b/>
                <w:szCs w:val="24"/>
              </w:rPr>
            </w:pPr>
            <w:r w:rsidRPr="005D7734">
              <w:rPr>
                <w:rFonts w:eastAsia="Calibri" w:cs="Arial"/>
                <w:bCs w:val="0"/>
                <w:szCs w:val="24"/>
              </w:rPr>
              <w:t>Arrang</w:t>
            </w:r>
            <w:r w:rsidR="006D0440" w:rsidRPr="005D7734">
              <w:rPr>
                <w:rFonts w:eastAsia="Calibri" w:cs="Arial"/>
                <w:bCs w:val="0"/>
                <w:szCs w:val="24"/>
              </w:rPr>
              <w:t xml:space="preserve">ements in place to ensure that </w:t>
            </w:r>
            <w:r w:rsidRPr="005D7734">
              <w:rPr>
                <w:rFonts w:eastAsia="Calibri" w:cs="Arial"/>
                <w:bCs w:val="0"/>
                <w:szCs w:val="24"/>
              </w:rPr>
              <w:t xml:space="preserve">service improvement is shaped by active service user </w:t>
            </w:r>
            <w:proofErr w:type="gramStart"/>
            <w:r w:rsidRPr="005D7734">
              <w:rPr>
                <w:rFonts w:eastAsia="Calibri" w:cs="Arial"/>
                <w:bCs w:val="0"/>
                <w:szCs w:val="24"/>
              </w:rPr>
              <w:t>involvement, and</w:t>
            </w:r>
            <w:proofErr w:type="gramEnd"/>
            <w:r w:rsidRPr="005D7734">
              <w:rPr>
                <w:rFonts w:eastAsia="Calibri" w:cs="Arial"/>
                <w:bCs w:val="0"/>
                <w:szCs w:val="24"/>
              </w:rPr>
              <w:t xml:space="preserve"> be able to demonstrate how this is achieved via means that are accessible, transparent and inclusive</w:t>
            </w:r>
            <w:r w:rsidR="006D0440" w:rsidRPr="005D7734">
              <w:rPr>
                <w:rFonts w:eastAsia="Calibri" w:cs="Arial"/>
                <w:bCs w:val="0"/>
                <w:szCs w:val="24"/>
              </w:rPr>
              <w:t>.</w:t>
            </w:r>
          </w:p>
          <w:p w14:paraId="67E02FE1" w14:textId="77777777" w:rsidR="005D7734" w:rsidRPr="005D7734" w:rsidRDefault="005D7734" w:rsidP="005D7734">
            <w:pPr>
              <w:pStyle w:val="ListParagraph"/>
              <w:rPr>
                <w:rFonts w:eastAsia="Calibri" w:cs="Arial"/>
                <w:bCs w:val="0"/>
                <w:szCs w:val="24"/>
              </w:rPr>
            </w:pPr>
          </w:p>
          <w:p w14:paraId="33F2DFF4" w14:textId="77777777" w:rsidR="005D7734" w:rsidRPr="005D7734" w:rsidRDefault="006D0440" w:rsidP="005D7734">
            <w:pPr>
              <w:pStyle w:val="ListParagraph"/>
              <w:numPr>
                <w:ilvl w:val="0"/>
                <w:numId w:val="36"/>
              </w:numPr>
              <w:spacing w:after="120"/>
              <w:rPr>
                <w:rFonts w:cs="Arial"/>
                <w:b/>
                <w:szCs w:val="24"/>
              </w:rPr>
            </w:pPr>
            <w:r w:rsidRPr="005D7734">
              <w:rPr>
                <w:rFonts w:eastAsia="Calibri" w:cs="Arial"/>
                <w:bCs w:val="0"/>
                <w:szCs w:val="24"/>
              </w:rPr>
              <w:t xml:space="preserve">Arrangements in place to ensure that </w:t>
            </w:r>
            <w:r w:rsidR="009B651E" w:rsidRPr="005D7734">
              <w:rPr>
                <w:rFonts w:eastAsia="Calibri" w:cs="Arial"/>
                <w:bCs w:val="0"/>
                <w:szCs w:val="24"/>
              </w:rPr>
              <w:t xml:space="preserve">complaints by service users are </w:t>
            </w:r>
            <w:r w:rsidR="00A32E63" w:rsidRPr="005D7734">
              <w:rPr>
                <w:rFonts w:eastAsia="Calibri" w:cs="Arial"/>
                <w:bCs w:val="0"/>
                <w:szCs w:val="24"/>
              </w:rPr>
              <w:t>acknowledged</w:t>
            </w:r>
            <w:r w:rsidR="009B651E" w:rsidRPr="005D7734">
              <w:rPr>
                <w:rFonts w:eastAsia="Calibri" w:cs="Arial"/>
                <w:bCs w:val="0"/>
                <w:szCs w:val="24"/>
              </w:rPr>
              <w:t xml:space="preserve"> investigated and responded to promptly; and that the means to complain</w:t>
            </w:r>
            <w:r w:rsidRPr="005D7734">
              <w:rPr>
                <w:rFonts w:eastAsia="Calibri" w:cs="Arial"/>
                <w:bCs w:val="0"/>
                <w:szCs w:val="24"/>
              </w:rPr>
              <w:t xml:space="preserve"> are publicised and accessible.</w:t>
            </w:r>
          </w:p>
          <w:p w14:paraId="07866BFC" w14:textId="77777777" w:rsidR="005D7734" w:rsidRPr="005D7734" w:rsidRDefault="005D7734" w:rsidP="005D7734">
            <w:pPr>
              <w:pStyle w:val="ListParagraph"/>
              <w:rPr>
                <w:rFonts w:eastAsia="Calibri" w:cs="Arial"/>
                <w:bCs w:val="0"/>
                <w:szCs w:val="24"/>
              </w:rPr>
            </w:pPr>
          </w:p>
          <w:p w14:paraId="3438C95E" w14:textId="677CA5D6" w:rsidR="00405D43" w:rsidRPr="005D7734" w:rsidRDefault="009B651E" w:rsidP="005D7734">
            <w:pPr>
              <w:pStyle w:val="ListParagraph"/>
              <w:numPr>
                <w:ilvl w:val="0"/>
                <w:numId w:val="36"/>
              </w:numPr>
              <w:spacing w:after="120"/>
              <w:rPr>
                <w:rFonts w:cs="Arial"/>
                <w:b/>
                <w:szCs w:val="24"/>
              </w:rPr>
            </w:pPr>
            <w:r w:rsidRPr="005D7734">
              <w:rPr>
                <w:rFonts w:eastAsia="Calibri" w:cs="Arial"/>
                <w:bCs w:val="0"/>
                <w:szCs w:val="24"/>
              </w:rPr>
              <w:t>Systems that demonstrate how Providers use audit, data management and analysis, service reviews (including peer reviews) and other intelligence to evaluate effectiveness and drive ongoing service improvement</w:t>
            </w:r>
          </w:p>
          <w:p w14:paraId="0191DDC4" w14:textId="77777777" w:rsidR="00405D43" w:rsidRPr="00CB26F8" w:rsidRDefault="009B651E" w:rsidP="005D7734">
            <w:pPr>
              <w:spacing w:after="120"/>
              <w:rPr>
                <w:rFonts w:cs="Arial"/>
                <w:b/>
                <w:szCs w:val="24"/>
              </w:rPr>
            </w:pPr>
            <w:r w:rsidRPr="00CB26F8">
              <w:rPr>
                <w:rFonts w:cs="Arial"/>
                <w:b/>
                <w:szCs w:val="24"/>
              </w:rPr>
              <w:t>Care Pathway</w:t>
            </w:r>
          </w:p>
          <w:p w14:paraId="3F737C37" w14:textId="77777777" w:rsidR="005D7734" w:rsidRPr="005D7734" w:rsidRDefault="006D0440" w:rsidP="005D7734">
            <w:pPr>
              <w:pStyle w:val="ListParagraph"/>
              <w:numPr>
                <w:ilvl w:val="0"/>
                <w:numId w:val="36"/>
              </w:numPr>
              <w:spacing w:after="120"/>
              <w:rPr>
                <w:rFonts w:cs="Arial"/>
                <w:b/>
                <w:szCs w:val="24"/>
              </w:rPr>
            </w:pPr>
            <w:r w:rsidRPr="005D7734">
              <w:rPr>
                <w:rFonts w:cs="Arial"/>
                <w:szCs w:val="24"/>
              </w:rPr>
              <w:t xml:space="preserve">The </w:t>
            </w:r>
            <w:r w:rsidR="00541415" w:rsidRPr="005D7734">
              <w:rPr>
                <w:rFonts w:cs="Arial"/>
                <w:szCs w:val="24"/>
              </w:rPr>
              <w:t xml:space="preserve">delivery </w:t>
            </w:r>
            <w:r w:rsidRPr="005D7734">
              <w:rPr>
                <w:rFonts w:cs="Arial"/>
                <w:szCs w:val="24"/>
              </w:rPr>
              <w:t xml:space="preserve">model relies on access </w:t>
            </w:r>
            <w:r w:rsidR="009A2D5D" w:rsidRPr="005D7734">
              <w:rPr>
                <w:rFonts w:cs="Arial"/>
                <w:szCs w:val="24"/>
              </w:rPr>
              <w:t>to specialist Gender Dysphoria</w:t>
            </w:r>
            <w:r w:rsidR="00544E2B" w:rsidRPr="005D7734">
              <w:rPr>
                <w:rFonts w:cs="Arial"/>
                <w:szCs w:val="24"/>
              </w:rPr>
              <w:t xml:space="preserve"> </w:t>
            </w:r>
            <w:r w:rsidR="009A2D5D" w:rsidRPr="005D7734">
              <w:rPr>
                <w:rFonts w:cs="Arial"/>
                <w:szCs w:val="24"/>
              </w:rPr>
              <w:t xml:space="preserve">Clinics </w:t>
            </w:r>
            <w:r w:rsidR="00541415" w:rsidRPr="005D7734">
              <w:rPr>
                <w:rFonts w:cs="Arial"/>
                <w:szCs w:val="24"/>
              </w:rPr>
              <w:t xml:space="preserve">usually </w:t>
            </w:r>
            <w:r w:rsidRPr="005D7734">
              <w:rPr>
                <w:rFonts w:cs="Arial"/>
                <w:szCs w:val="24"/>
              </w:rPr>
              <w:t xml:space="preserve">via primary care, and the principle of multidisciplinary and interdisciplinary teams and networks who work and collaborate in the provision of care. Gender </w:t>
            </w:r>
            <w:r w:rsidR="009A2D5D" w:rsidRPr="005D7734">
              <w:rPr>
                <w:rFonts w:cs="Arial"/>
                <w:szCs w:val="24"/>
              </w:rPr>
              <w:t xml:space="preserve">Dysphoria </w:t>
            </w:r>
            <w:r w:rsidRPr="005D7734">
              <w:rPr>
                <w:rFonts w:cs="Arial"/>
                <w:szCs w:val="24"/>
              </w:rPr>
              <w:t>Clinics assess and diagnose individuals; directly provide some interventions and arrange for referrals to other services, including for medical and surgical treatments. Access to surgical intervention is only by referral from</w:t>
            </w:r>
            <w:r w:rsidR="009A2D5D" w:rsidRPr="005D7734">
              <w:rPr>
                <w:rFonts w:cs="Arial"/>
                <w:szCs w:val="24"/>
              </w:rPr>
              <w:t xml:space="preserve"> a</w:t>
            </w:r>
            <w:r w:rsidRPr="005D7734">
              <w:rPr>
                <w:rFonts w:cs="Arial"/>
                <w:szCs w:val="24"/>
              </w:rPr>
              <w:t xml:space="preserve"> specialist Gender </w:t>
            </w:r>
            <w:r w:rsidR="009A2D5D" w:rsidRPr="005D7734">
              <w:rPr>
                <w:rFonts w:cs="Arial"/>
                <w:szCs w:val="24"/>
              </w:rPr>
              <w:t xml:space="preserve">Dysphoria </w:t>
            </w:r>
            <w:r w:rsidRPr="005D7734">
              <w:rPr>
                <w:rFonts w:cs="Arial"/>
                <w:szCs w:val="24"/>
              </w:rPr>
              <w:t>Clinic</w:t>
            </w:r>
            <w:r w:rsidR="009A2D5D" w:rsidRPr="005D7734">
              <w:rPr>
                <w:rFonts w:cs="Arial"/>
                <w:szCs w:val="24"/>
              </w:rPr>
              <w:t xml:space="preserve"> that is commissioned by NHS England </w:t>
            </w:r>
            <w:r w:rsidR="0035359C" w:rsidRPr="005D7734">
              <w:rPr>
                <w:rFonts w:cs="Arial"/>
                <w:szCs w:val="24"/>
              </w:rPr>
              <w:t>compliant with</w:t>
            </w:r>
            <w:r w:rsidR="009A2D5D" w:rsidRPr="005D7734">
              <w:rPr>
                <w:rFonts w:cs="Arial"/>
                <w:szCs w:val="24"/>
              </w:rPr>
              <w:t xml:space="preserve"> this specification</w:t>
            </w:r>
            <w:r w:rsidRPr="005D7734">
              <w:rPr>
                <w:rFonts w:cs="Arial"/>
                <w:szCs w:val="24"/>
              </w:rPr>
              <w:t xml:space="preserve">. Some elements of the NHS care pathway are delivered by non-specialised services. A diagram of the pathway is at </w:t>
            </w:r>
            <w:r w:rsidRPr="005D7734">
              <w:rPr>
                <w:rFonts w:cs="Arial"/>
                <w:szCs w:val="24"/>
                <w:u w:val="single"/>
              </w:rPr>
              <w:t>Appendix A</w:t>
            </w:r>
            <w:r w:rsidRPr="005D7734">
              <w:rPr>
                <w:rFonts w:cs="Arial"/>
                <w:szCs w:val="24"/>
              </w:rPr>
              <w:t>.</w:t>
            </w:r>
          </w:p>
          <w:p w14:paraId="29A3760B" w14:textId="77777777" w:rsidR="005D7734" w:rsidRPr="005D7734" w:rsidRDefault="005D7734" w:rsidP="005D7734">
            <w:pPr>
              <w:pStyle w:val="ListParagraph"/>
              <w:spacing w:after="120"/>
              <w:ind w:left="360"/>
              <w:rPr>
                <w:rFonts w:cs="Arial"/>
                <w:b/>
                <w:szCs w:val="24"/>
              </w:rPr>
            </w:pPr>
          </w:p>
          <w:p w14:paraId="03CB766B" w14:textId="5BED7377" w:rsidR="00405D43" w:rsidRPr="005D7734" w:rsidRDefault="009B651E" w:rsidP="005D7734">
            <w:pPr>
              <w:pStyle w:val="ListParagraph"/>
              <w:numPr>
                <w:ilvl w:val="0"/>
                <w:numId w:val="36"/>
              </w:numPr>
              <w:spacing w:after="120"/>
              <w:rPr>
                <w:rFonts w:cs="Arial"/>
                <w:b/>
                <w:szCs w:val="24"/>
              </w:rPr>
            </w:pPr>
            <w:r w:rsidRPr="005D7734">
              <w:rPr>
                <w:rFonts w:cs="Arial"/>
                <w:szCs w:val="24"/>
              </w:rPr>
              <w:t>The NHS pathway of care may be summarised as:</w:t>
            </w:r>
          </w:p>
          <w:p w14:paraId="2F8A9926" w14:textId="77777777" w:rsidR="00405D43" w:rsidRPr="00CB26F8" w:rsidRDefault="009B651E" w:rsidP="00753AAE">
            <w:pPr>
              <w:numPr>
                <w:ilvl w:val="0"/>
                <w:numId w:val="7"/>
              </w:numPr>
              <w:spacing w:after="120"/>
              <w:rPr>
                <w:rFonts w:cs="Arial"/>
                <w:b/>
                <w:szCs w:val="24"/>
              </w:rPr>
            </w:pPr>
            <w:r w:rsidRPr="00CB26F8">
              <w:rPr>
                <w:szCs w:val="24"/>
              </w:rPr>
              <w:t xml:space="preserve">Referral </w:t>
            </w:r>
            <w:r w:rsidR="00A8689D" w:rsidRPr="00CB26F8">
              <w:rPr>
                <w:szCs w:val="24"/>
              </w:rPr>
              <w:t xml:space="preserve">to a specialist Gender </w:t>
            </w:r>
            <w:r w:rsidR="009A2D5D">
              <w:rPr>
                <w:szCs w:val="24"/>
              </w:rPr>
              <w:t xml:space="preserve">Dysphoria </w:t>
            </w:r>
            <w:r w:rsidR="00A8689D" w:rsidRPr="00CB26F8">
              <w:rPr>
                <w:szCs w:val="24"/>
              </w:rPr>
              <w:t xml:space="preserve">Clinic </w:t>
            </w:r>
            <w:r w:rsidR="00514293">
              <w:rPr>
                <w:szCs w:val="24"/>
              </w:rPr>
              <w:t>(</w:t>
            </w:r>
            <w:r w:rsidR="00C246E6">
              <w:rPr>
                <w:szCs w:val="24"/>
              </w:rPr>
              <w:t>self-referral</w:t>
            </w:r>
            <w:r w:rsidR="00514293">
              <w:rPr>
                <w:szCs w:val="24"/>
              </w:rPr>
              <w:t>; or by</w:t>
            </w:r>
            <w:r w:rsidR="00514293" w:rsidRPr="00CB26F8">
              <w:rPr>
                <w:szCs w:val="24"/>
              </w:rPr>
              <w:t xml:space="preserve"> </w:t>
            </w:r>
            <w:r w:rsidRPr="00CB26F8">
              <w:rPr>
                <w:szCs w:val="24"/>
              </w:rPr>
              <w:t>primary, secondary or tertiary care</w:t>
            </w:r>
            <w:r w:rsidR="00514293">
              <w:rPr>
                <w:szCs w:val="24"/>
              </w:rPr>
              <w:t>)</w:t>
            </w:r>
          </w:p>
          <w:p w14:paraId="73221C12" w14:textId="77777777" w:rsidR="00405D43" w:rsidRPr="00CB26F8" w:rsidRDefault="009B651E" w:rsidP="00753AAE">
            <w:pPr>
              <w:numPr>
                <w:ilvl w:val="0"/>
                <w:numId w:val="7"/>
              </w:numPr>
              <w:spacing w:after="120"/>
              <w:rPr>
                <w:rFonts w:cs="Arial"/>
                <w:b/>
                <w:szCs w:val="24"/>
              </w:rPr>
            </w:pPr>
            <w:r w:rsidRPr="00CB26F8">
              <w:rPr>
                <w:szCs w:val="24"/>
              </w:rPr>
              <w:t>Assessment for gender dysphoria, and diagnosis</w:t>
            </w:r>
          </w:p>
          <w:p w14:paraId="7E9BD380" w14:textId="77777777" w:rsidR="00405D43" w:rsidRPr="00CB26F8" w:rsidRDefault="009B651E" w:rsidP="00753AAE">
            <w:pPr>
              <w:numPr>
                <w:ilvl w:val="0"/>
                <w:numId w:val="7"/>
              </w:numPr>
              <w:spacing w:after="120"/>
              <w:rPr>
                <w:rFonts w:cs="Arial"/>
                <w:b/>
                <w:szCs w:val="24"/>
              </w:rPr>
            </w:pPr>
            <w:r w:rsidRPr="00CB26F8">
              <w:rPr>
                <w:szCs w:val="24"/>
              </w:rPr>
              <w:t xml:space="preserve">Individuals who meet the criteria for </w:t>
            </w:r>
            <w:r w:rsidR="00A01631">
              <w:rPr>
                <w:szCs w:val="24"/>
              </w:rPr>
              <w:t xml:space="preserve">diagnosis of </w:t>
            </w:r>
            <w:r w:rsidRPr="00CB26F8">
              <w:rPr>
                <w:szCs w:val="24"/>
              </w:rPr>
              <w:t>gender dysphoria related to gender incongruence are accepted on to the NHS care pathway and an individ</w:t>
            </w:r>
            <w:r w:rsidR="006D0440" w:rsidRPr="00CB26F8">
              <w:rPr>
                <w:szCs w:val="24"/>
              </w:rPr>
              <w:t>ualised treatment plan is agreed</w:t>
            </w:r>
          </w:p>
          <w:p w14:paraId="3B0DC42B" w14:textId="77777777" w:rsidR="00405D43" w:rsidRPr="00CB26F8" w:rsidRDefault="009B651E" w:rsidP="00753AAE">
            <w:pPr>
              <w:numPr>
                <w:ilvl w:val="0"/>
                <w:numId w:val="7"/>
              </w:numPr>
              <w:spacing w:after="120"/>
              <w:rPr>
                <w:rFonts w:cs="Arial"/>
                <w:b/>
                <w:szCs w:val="24"/>
              </w:rPr>
            </w:pPr>
            <w:r w:rsidRPr="00CB26F8">
              <w:rPr>
                <w:szCs w:val="24"/>
              </w:rPr>
              <w:t xml:space="preserve">Therapeutic </w:t>
            </w:r>
            <w:r w:rsidR="00A8689D" w:rsidRPr="00CB26F8">
              <w:rPr>
                <w:szCs w:val="24"/>
              </w:rPr>
              <w:t xml:space="preserve">interventions delivered by the specialist Gender </w:t>
            </w:r>
            <w:r w:rsidR="009A2D5D">
              <w:rPr>
                <w:szCs w:val="24"/>
              </w:rPr>
              <w:t xml:space="preserve">Dysphoria </w:t>
            </w:r>
            <w:r w:rsidR="00A8689D" w:rsidRPr="00CB26F8">
              <w:rPr>
                <w:szCs w:val="24"/>
              </w:rPr>
              <w:t>Clinic</w:t>
            </w:r>
            <w:r w:rsidRPr="00CB26F8">
              <w:rPr>
                <w:szCs w:val="24"/>
              </w:rPr>
              <w:t>; and / or referral for interventions with other providers</w:t>
            </w:r>
          </w:p>
          <w:p w14:paraId="1A2B8A67" w14:textId="77777777" w:rsidR="00405D43" w:rsidRPr="00CB26F8" w:rsidRDefault="009B651E" w:rsidP="00753AAE">
            <w:pPr>
              <w:numPr>
                <w:ilvl w:val="0"/>
                <w:numId w:val="7"/>
              </w:numPr>
              <w:spacing w:after="120"/>
              <w:rPr>
                <w:rFonts w:cs="Arial"/>
                <w:b/>
                <w:szCs w:val="24"/>
              </w:rPr>
            </w:pPr>
            <w:r w:rsidRPr="00CB26F8">
              <w:rPr>
                <w:szCs w:val="24"/>
              </w:rPr>
              <w:t>Ongoing review and monitoring during and after interventions</w:t>
            </w:r>
          </w:p>
          <w:p w14:paraId="136950A9" w14:textId="77777777" w:rsidR="00C246E6" w:rsidRPr="00C246E6" w:rsidRDefault="009B651E" w:rsidP="00753AAE">
            <w:pPr>
              <w:numPr>
                <w:ilvl w:val="0"/>
                <w:numId w:val="7"/>
              </w:numPr>
              <w:spacing w:after="120"/>
              <w:rPr>
                <w:rFonts w:cs="Arial"/>
                <w:b/>
                <w:szCs w:val="24"/>
              </w:rPr>
            </w:pPr>
            <w:r w:rsidRPr="00CB26F8">
              <w:rPr>
                <w:szCs w:val="24"/>
              </w:rPr>
              <w:t>Conclusion of contact: discharge to primary care</w:t>
            </w:r>
          </w:p>
          <w:p w14:paraId="4C62A682" w14:textId="2DDB348B" w:rsidR="00CB26F8" w:rsidRDefault="009B651E" w:rsidP="005D7734">
            <w:pPr>
              <w:spacing w:after="120"/>
              <w:rPr>
                <w:rFonts w:cs="Arial"/>
                <w:b/>
                <w:szCs w:val="24"/>
              </w:rPr>
            </w:pPr>
            <w:r w:rsidRPr="00CB26F8">
              <w:rPr>
                <w:rFonts w:cs="Arial"/>
                <w:b/>
                <w:szCs w:val="24"/>
              </w:rPr>
              <w:t>New referrals</w:t>
            </w:r>
          </w:p>
          <w:p w14:paraId="7F9AABE7" w14:textId="0338F2BC" w:rsidR="00CA5419" w:rsidRPr="005D7734" w:rsidRDefault="00C246E6" w:rsidP="005D7734">
            <w:pPr>
              <w:pStyle w:val="ListParagraph"/>
              <w:numPr>
                <w:ilvl w:val="0"/>
                <w:numId w:val="36"/>
              </w:numPr>
              <w:spacing w:after="120"/>
              <w:rPr>
                <w:rFonts w:cs="Arial"/>
                <w:b/>
                <w:szCs w:val="24"/>
              </w:rPr>
            </w:pPr>
            <w:r w:rsidRPr="005D7734">
              <w:rPr>
                <w:rFonts w:cs="Arial"/>
                <w:szCs w:val="24"/>
              </w:rPr>
              <w:t>Self-referrals</w:t>
            </w:r>
            <w:r w:rsidR="009B651E" w:rsidRPr="005D7734">
              <w:rPr>
                <w:rFonts w:cs="Arial"/>
                <w:szCs w:val="24"/>
              </w:rPr>
              <w:t xml:space="preserve"> may be made by </w:t>
            </w:r>
            <w:r w:rsidR="00544E2B" w:rsidRPr="005D7734">
              <w:rPr>
                <w:rFonts w:cs="Arial"/>
                <w:szCs w:val="24"/>
              </w:rPr>
              <w:t xml:space="preserve">individuals themselves, provided the individual </w:t>
            </w:r>
            <w:r w:rsidR="009D4EF1" w:rsidRPr="005D7734">
              <w:rPr>
                <w:rFonts w:cs="Arial"/>
                <w:szCs w:val="24"/>
              </w:rPr>
              <w:t xml:space="preserve">is registered with a </w:t>
            </w:r>
            <w:r w:rsidR="009B651E" w:rsidRPr="005D7734">
              <w:rPr>
                <w:rFonts w:cs="Arial"/>
                <w:szCs w:val="24"/>
              </w:rPr>
              <w:t>General Practitioner (GP)</w:t>
            </w:r>
            <w:r w:rsidR="009D4EF1" w:rsidRPr="005D7734">
              <w:rPr>
                <w:rFonts w:cs="Arial"/>
                <w:szCs w:val="24"/>
              </w:rPr>
              <w:t>.</w:t>
            </w:r>
            <w:r w:rsidR="009B651E" w:rsidRPr="005D7734">
              <w:rPr>
                <w:rFonts w:cs="Arial"/>
                <w:szCs w:val="24"/>
              </w:rPr>
              <w:t xml:space="preserve"> </w:t>
            </w:r>
            <w:r w:rsidR="009D4EF1" w:rsidRPr="005D7734">
              <w:rPr>
                <w:rFonts w:cs="Arial"/>
                <w:szCs w:val="24"/>
              </w:rPr>
              <w:t xml:space="preserve">Referrals may also be made by GPs, </w:t>
            </w:r>
            <w:r w:rsidR="009B651E" w:rsidRPr="005D7734">
              <w:rPr>
                <w:rFonts w:cs="Arial"/>
                <w:szCs w:val="24"/>
              </w:rPr>
              <w:t xml:space="preserve">other medically qualified professionals, and other professionals regulated by the </w:t>
            </w:r>
            <w:r w:rsidR="009B651E" w:rsidRPr="005D7734">
              <w:rPr>
                <w:rFonts w:cs="Arial"/>
                <w:i/>
                <w:szCs w:val="24"/>
              </w:rPr>
              <w:t>Health and Care Professions Council</w:t>
            </w:r>
            <w:r w:rsidR="009B651E" w:rsidRPr="005D7734">
              <w:rPr>
                <w:rFonts w:cs="Arial"/>
                <w:szCs w:val="24"/>
              </w:rPr>
              <w:t xml:space="preserve">. </w:t>
            </w:r>
            <w:r w:rsidR="009D4EF1" w:rsidRPr="005D7734">
              <w:rPr>
                <w:rFonts w:cs="Arial"/>
                <w:szCs w:val="24"/>
              </w:rPr>
              <w:t xml:space="preserve">See </w:t>
            </w:r>
            <w:r w:rsidR="009D4EF1" w:rsidRPr="005D7734">
              <w:rPr>
                <w:rFonts w:cs="Arial"/>
                <w:szCs w:val="24"/>
                <w:u w:val="single"/>
              </w:rPr>
              <w:t>Appendix B</w:t>
            </w:r>
            <w:r w:rsidR="009D4EF1" w:rsidRPr="005D7734">
              <w:rPr>
                <w:rFonts w:cs="Arial"/>
                <w:szCs w:val="24"/>
              </w:rPr>
              <w:t>.</w:t>
            </w:r>
          </w:p>
          <w:p w14:paraId="6BC1C596" w14:textId="77777777" w:rsidR="00CB26F8" w:rsidRDefault="009B651E" w:rsidP="005D7734">
            <w:pPr>
              <w:spacing w:after="120"/>
              <w:rPr>
                <w:rFonts w:cs="Arial"/>
                <w:b/>
                <w:szCs w:val="24"/>
              </w:rPr>
            </w:pPr>
            <w:r w:rsidRPr="00CB26F8">
              <w:rPr>
                <w:rFonts w:cs="Arial"/>
                <w:b/>
                <w:szCs w:val="24"/>
              </w:rPr>
              <w:t>Requests for transfers of care from specialised adult services</w:t>
            </w:r>
          </w:p>
          <w:p w14:paraId="03C5F153" w14:textId="668CDBF6" w:rsidR="00CA5419" w:rsidRPr="005D7734" w:rsidRDefault="009B651E" w:rsidP="005D7734">
            <w:pPr>
              <w:pStyle w:val="ListParagraph"/>
              <w:numPr>
                <w:ilvl w:val="0"/>
                <w:numId w:val="36"/>
              </w:numPr>
              <w:spacing w:after="120"/>
              <w:rPr>
                <w:rFonts w:cs="Arial"/>
                <w:b/>
                <w:szCs w:val="24"/>
              </w:rPr>
            </w:pPr>
            <w:r w:rsidRPr="005D7734">
              <w:rPr>
                <w:rFonts w:cs="Arial"/>
                <w:szCs w:val="24"/>
              </w:rPr>
              <w:t xml:space="preserve">Transfers of care may be requested by other </w:t>
            </w:r>
            <w:r w:rsidR="001E0B76" w:rsidRPr="005D7734">
              <w:rPr>
                <w:rFonts w:cs="Arial"/>
                <w:szCs w:val="24"/>
              </w:rPr>
              <w:t xml:space="preserve">designated Gender </w:t>
            </w:r>
            <w:r w:rsidR="009A2D5D" w:rsidRPr="005D7734">
              <w:rPr>
                <w:rFonts w:cs="Arial"/>
                <w:szCs w:val="24"/>
              </w:rPr>
              <w:t xml:space="preserve">Dysphoria </w:t>
            </w:r>
            <w:r w:rsidR="001E0B76" w:rsidRPr="005D7734">
              <w:rPr>
                <w:rFonts w:cs="Arial"/>
                <w:szCs w:val="24"/>
              </w:rPr>
              <w:t>Clinics</w:t>
            </w:r>
            <w:r w:rsidRPr="005D7734">
              <w:rPr>
                <w:rFonts w:cs="Arial"/>
                <w:szCs w:val="24"/>
              </w:rPr>
              <w:t xml:space="preserve">. </w:t>
            </w:r>
            <w:r w:rsidR="008457D3" w:rsidRPr="005D7734">
              <w:rPr>
                <w:rFonts w:cs="Arial"/>
                <w:szCs w:val="24"/>
              </w:rPr>
              <w:t xml:space="preserve">See </w:t>
            </w:r>
            <w:r w:rsidR="00CB26F8" w:rsidRPr="005D7734">
              <w:rPr>
                <w:rFonts w:cs="Arial"/>
                <w:szCs w:val="24"/>
                <w:u w:val="single"/>
              </w:rPr>
              <w:t>Appendix C</w:t>
            </w:r>
            <w:r w:rsidR="008457D3" w:rsidRPr="005D7734">
              <w:rPr>
                <w:rFonts w:cs="Arial"/>
                <w:szCs w:val="24"/>
              </w:rPr>
              <w:t xml:space="preserve">. </w:t>
            </w:r>
          </w:p>
          <w:p w14:paraId="5BC7AAEF" w14:textId="77777777" w:rsidR="00CA5419" w:rsidRPr="00CB26F8" w:rsidRDefault="00F95783" w:rsidP="005D7734">
            <w:pPr>
              <w:spacing w:after="120"/>
              <w:rPr>
                <w:rFonts w:cs="Arial"/>
                <w:b/>
                <w:szCs w:val="24"/>
              </w:rPr>
            </w:pPr>
            <w:r>
              <w:rPr>
                <w:rFonts w:cs="Arial"/>
                <w:b/>
                <w:szCs w:val="24"/>
              </w:rPr>
              <w:t>Requests for t</w:t>
            </w:r>
            <w:r w:rsidR="009B651E" w:rsidRPr="00CB26F8">
              <w:rPr>
                <w:rFonts w:cs="Arial"/>
                <w:b/>
                <w:szCs w:val="24"/>
              </w:rPr>
              <w:t xml:space="preserve">ransfers </w:t>
            </w:r>
            <w:r>
              <w:rPr>
                <w:rFonts w:cs="Arial"/>
                <w:b/>
                <w:szCs w:val="24"/>
              </w:rPr>
              <w:t xml:space="preserve">of care </w:t>
            </w:r>
            <w:r w:rsidR="009B651E" w:rsidRPr="00CB26F8">
              <w:rPr>
                <w:rFonts w:cs="Arial"/>
                <w:b/>
                <w:szCs w:val="24"/>
              </w:rPr>
              <w:t>from the Gender Identity Development Service for Children and Young People</w:t>
            </w:r>
          </w:p>
          <w:p w14:paraId="15F56BFE" w14:textId="66935AF4" w:rsidR="00CA5419" w:rsidRPr="005D7734" w:rsidRDefault="00F95783" w:rsidP="005D7734">
            <w:pPr>
              <w:pStyle w:val="ListParagraph"/>
              <w:numPr>
                <w:ilvl w:val="0"/>
                <w:numId w:val="36"/>
              </w:numPr>
              <w:spacing w:after="120"/>
              <w:rPr>
                <w:rFonts w:cs="Arial"/>
                <w:szCs w:val="24"/>
              </w:rPr>
            </w:pPr>
            <w:r w:rsidRPr="005D7734">
              <w:rPr>
                <w:rFonts w:cs="Arial"/>
                <w:szCs w:val="24"/>
              </w:rPr>
              <w:t xml:space="preserve">A request for transfer of care may be made by </w:t>
            </w:r>
            <w:r w:rsidR="009A2D5D" w:rsidRPr="005D7734">
              <w:rPr>
                <w:rFonts w:cs="Arial"/>
                <w:szCs w:val="24"/>
              </w:rPr>
              <w:t>the</w:t>
            </w:r>
            <w:r w:rsidR="001E0B76" w:rsidRPr="005D7734">
              <w:rPr>
                <w:rFonts w:cs="Arial"/>
                <w:szCs w:val="24"/>
              </w:rPr>
              <w:t xml:space="preserve"> </w:t>
            </w:r>
            <w:r w:rsidR="00A01631" w:rsidRPr="005D7734">
              <w:rPr>
                <w:rFonts w:cs="Arial"/>
                <w:szCs w:val="24"/>
              </w:rPr>
              <w:t xml:space="preserve">designated </w:t>
            </w:r>
            <w:r w:rsidR="009A2D5D" w:rsidRPr="005D7734">
              <w:rPr>
                <w:rFonts w:cs="Arial"/>
                <w:szCs w:val="24"/>
              </w:rPr>
              <w:t xml:space="preserve">Gender Identity Development Service </w:t>
            </w:r>
            <w:r w:rsidR="00A01631" w:rsidRPr="005D7734">
              <w:rPr>
                <w:rFonts w:cs="Arial"/>
                <w:szCs w:val="24"/>
              </w:rPr>
              <w:t xml:space="preserve">for children and young people </w:t>
            </w:r>
            <w:r w:rsidRPr="005D7734">
              <w:rPr>
                <w:rFonts w:cs="Arial"/>
                <w:szCs w:val="24"/>
              </w:rPr>
              <w:t>to</w:t>
            </w:r>
            <w:r w:rsidR="009A2D5D" w:rsidRPr="005D7734">
              <w:rPr>
                <w:rFonts w:cs="Arial"/>
                <w:szCs w:val="24"/>
              </w:rPr>
              <w:t xml:space="preserve"> a designated Gender Dysphoria</w:t>
            </w:r>
            <w:r w:rsidR="001E0B76" w:rsidRPr="005D7734">
              <w:rPr>
                <w:rFonts w:cs="Arial"/>
                <w:szCs w:val="24"/>
              </w:rPr>
              <w:t xml:space="preserve"> Clinic</w:t>
            </w:r>
            <w:r w:rsidRPr="005D7734">
              <w:rPr>
                <w:rFonts w:cs="Arial"/>
                <w:szCs w:val="24"/>
              </w:rPr>
              <w:t xml:space="preserve"> before the young person’s 17th birthday. This may be appropriate where joint working between the two services, including joint consultations with the young person, within a “lead-in” period is beneficial to ensure a timely and effective eventual transfer once the young person has reached 17 years. </w:t>
            </w:r>
            <w:r w:rsidR="00850926" w:rsidRPr="005D7734">
              <w:rPr>
                <w:rFonts w:cs="Arial"/>
                <w:szCs w:val="24"/>
              </w:rPr>
              <w:t xml:space="preserve">See </w:t>
            </w:r>
            <w:r w:rsidRPr="005D7734">
              <w:rPr>
                <w:rFonts w:cs="Arial"/>
                <w:szCs w:val="24"/>
                <w:u w:val="single"/>
              </w:rPr>
              <w:t>Appendix D</w:t>
            </w:r>
            <w:r w:rsidR="00850926" w:rsidRPr="005D7734">
              <w:rPr>
                <w:rFonts w:cs="Arial"/>
                <w:szCs w:val="24"/>
              </w:rPr>
              <w:t>.</w:t>
            </w:r>
          </w:p>
          <w:p w14:paraId="033CA899" w14:textId="3D7C1D8A" w:rsidR="00CA5419" w:rsidRPr="00CB26F8" w:rsidRDefault="009B651E" w:rsidP="005D7734">
            <w:pPr>
              <w:spacing w:after="120"/>
              <w:rPr>
                <w:rFonts w:cs="Arial"/>
                <w:b/>
                <w:szCs w:val="24"/>
              </w:rPr>
            </w:pPr>
            <w:r w:rsidRPr="00CB26F8">
              <w:rPr>
                <w:rFonts w:cs="Arial"/>
                <w:b/>
                <w:szCs w:val="24"/>
              </w:rPr>
              <w:t xml:space="preserve">Assessment process for </w:t>
            </w:r>
            <w:proofErr w:type="gramStart"/>
            <w:r w:rsidRPr="00CB26F8">
              <w:rPr>
                <w:rFonts w:cs="Arial"/>
                <w:b/>
                <w:szCs w:val="24"/>
              </w:rPr>
              <w:t>newly-referred</w:t>
            </w:r>
            <w:proofErr w:type="gramEnd"/>
            <w:r w:rsidRPr="00CB26F8">
              <w:rPr>
                <w:rFonts w:cs="Arial"/>
                <w:b/>
                <w:szCs w:val="24"/>
              </w:rPr>
              <w:t xml:space="preserve"> individuals</w:t>
            </w:r>
          </w:p>
          <w:p w14:paraId="491CA756" w14:textId="106FE26B" w:rsidR="00CA5419" w:rsidRPr="005D7734" w:rsidRDefault="009B651E" w:rsidP="005D7734">
            <w:pPr>
              <w:pStyle w:val="ListParagraph"/>
              <w:numPr>
                <w:ilvl w:val="0"/>
                <w:numId w:val="36"/>
              </w:numPr>
              <w:spacing w:after="120"/>
              <w:rPr>
                <w:rFonts w:cs="Arial"/>
                <w:b/>
                <w:szCs w:val="24"/>
              </w:rPr>
            </w:pPr>
            <w:r w:rsidRPr="005D7734">
              <w:rPr>
                <w:rFonts w:cs="Arial"/>
                <w:szCs w:val="24"/>
              </w:rPr>
              <w:t xml:space="preserve">The Provider will undertake a specialised assessment for people who may have gender dysphoria; </w:t>
            </w:r>
            <w:r w:rsidR="00DE7DE1" w:rsidRPr="005D7734">
              <w:rPr>
                <w:rFonts w:cs="Arial"/>
                <w:szCs w:val="24"/>
              </w:rPr>
              <w:t>work with</w:t>
            </w:r>
            <w:r w:rsidRPr="005D7734">
              <w:rPr>
                <w:rFonts w:cs="Arial"/>
                <w:szCs w:val="24"/>
              </w:rPr>
              <w:t xml:space="preserve"> them</w:t>
            </w:r>
            <w:r w:rsidR="00777F5F" w:rsidRPr="005D7734">
              <w:rPr>
                <w:rFonts w:cs="Arial"/>
                <w:szCs w:val="24"/>
              </w:rPr>
              <w:t xml:space="preserve"> to identify</w:t>
            </w:r>
            <w:r w:rsidRPr="005D7734">
              <w:rPr>
                <w:rFonts w:cs="Arial"/>
                <w:szCs w:val="24"/>
              </w:rPr>
              <w:t xml:space="preserve"> the most appropriate diagnostic coding; and agree a treatment plan. If the diagnosis is that the individual does not have gender dysphoria </w:t>
            </w:r>
            <w:proofErr w:type="gramStart"/>
            <w:r w:rsidRPr="005D7734">
              <w:rPr>
                <w:rFonts w:cs="Arial"/>
                <w:szCs w:val="24"/>
              </w:rPr>
              <w:t>as a consequence of</w:t>
            </w:r>
            <w:proofErr w:type="gramEnd"/>
            <w:r w:rsidRPr="005D7734">
              <w:rPr>
                <w:rFonts w:cs="Arial"/>
                <w:szCs w:val="24"/>
              </w:rPr>
              <w:t xml:space="preserve"> gender incongruence, the Provider will advise the individual and referrer on alternative services that might meet the individual’s health and well-being needs.</w:t>
            </w:r>
            <w:r w:rsidR="00F95783" w:rsidRPr="005D7734">
              <w:rPr>
                <w:rFonts w:cs="Arial"/>
                <w:szCs w:val="24"/>
              </w:rPr>
              <w:t xml:space="preserve"> See </w:t>
            </w:r>
            <w:r w:rsidR="00F95783" w:rsidRPr="005D7734">
              <w:rPr>
                <w:rFonts w:cs="Arial"/>
                <w:szCs w:val="24"/>
                <w:u w:val="single"/>
              </w:rPr>
              <w:t>Appendix E</w:t>
            </w:r>
            <w:r w:rsidR="00F95783" w:rsidRPr="005D7734">
              <w:rPr>
                <w:rFonts w:cs="Arial"/>
                <w:szCs w:val="24"/>
              </w:rPr>
              <w:t>.</w:t>
            </w:r>
          </w:p>
          <w:p w14:paraId="6B4C5918" w14:textId="77777777" w:rsidR="00CA5419" w:rsidRPr="00CB26F8" w:rsidRDefault="009B651E" w:rsidP="005D7734">
            <w:pPr>
              <w:spacing w:after="120"/>
              <w:rPr>
                <w:rFonts w:cs="Arial"/>
                <w:b/>
                <w:szCs w:val="24"/>
              </w:rPr>
            </w:pPr>
            <w:r w:rsidRPr="00CB26F8">
              <w:rPr>
                <w:rFonts w:cs="Arial"/>
                <w:b/>
                <w:szCs w:val="24"/>
              </w:rPr>
              <w:t>Physical examination</w:t>
            </w:r>
          </w:p>
          <w:p w14:paraId="6B02F02B" w14:textId="5C6C0EE5" w:rsidR="00CA5419" w:rsidRPr="005D7734" w:rsidRDefault="009B651E" w:rsidP="005D7734">
            <w:pPr>
              <w:pStyle w:val="ListParagraph"/>
              <w:numPr>
                <w:ilvl w:val="0"/>
                <w:numId w:val="36"/>
              </w:numPr>
              <w:spacing w:after="120"/>
              <w:rPr>
                <w:rFonts w:cs="Arial"/>
                <w:b/>
                <w:szCs w:val="24"/>
              </w:rPr>
            </w:pPr>
            <w:r w:rsidRPr="005D7734">
              <w:rPr>
                <w:rFonts w:cs="Arial"/>
                <w:szCs w:val="24"/>
              </w:rPr>
              <w:t xml:space="preserve">Physical examination, other than the measurement of height, weight and blood pressure, must not be performed routinely during the assessment process.  </w:t>
            </w:r>
            <w:r w:rsidR="00F95783" w:rsidRPr="005D7734">
              <w:rPr>
                <w:rFonts w:cs="Arial"/>
                <w:szCs w:val="24"/>
                <w:u w:val="single"/>
              </w:rPr>
              <w:t>See Appendix F</w:t>
            </w:r>
            <w:r w:rsidR="0076138F" w:rsidRPr="005D7734">
              <w:rPr>
                <w:rFonts w:cs="Arial"/>
                <w:szCs w:val="24"/>
              </w:rPr>
              <w:t xml:space="preserve">. </w:t>
            </w:r>
          </w:p>
          <w:p w14:paraId="6AC48499" w14:textId="77777777" w:rsidR="0076138F" w:rsidRPr="00CB26F8" w:rsidRDefault="009B651E" w:rsidP="005D7734">
            <w:pPr>
              <w:spacing w:after="120"/>
              <w:rPr>
                <w:rFonts w:cs="Arial"/>
                <w:b/>
                <w:szCs w:val="24"/>
              </w:rPr>
            </w:pPr>
            <w:r w:rsidRPr="00CB26F8">
              <w:rPr>
                <w:rFonts w:cs="Arial"/>
                <w:b/>
                <w:szCs w:val="24"/>
              </w:rPr>
              <w:t xml:space="preserve">Named </w:t>
            </w:r>
            <w:r w:rsidR="00777F5F">
              <w:rPr>
                <w:rFonts w:cs="Arial"/>
                <w:b/>
                <w:szCs w:val="24"/>
              </w:rPr>
              <w:t>p</w:t>
            </w:r>
            <w:r w:rsidRPr="00CB26F8">
              <w:rPr>
                <w:rFonts w:cs="Arial"/>
                <w:b/>
                <w:szCs w:val="24"/>
              </w:rPr>
              <w:t>rofessional’s role in treatment process</w:t>
            </w:r>
          </w:p>
          <w:p w14:paraId="101FDFD7" w14:textId="255BD217" w:rsidR="00F95783" w:rsidRPr="005D7734" w:rsidRDefault="009B651E" w:rsidP="005D7734">
            <w:pPr>
              <w:pStyle w:val="ListParagraph"/>
              <w:numPr>
                <w:ilvl w:val="0"/>
                <w:numId w:val="36"/>
              </w:numPr>
              <w:spacing w:after="120"/>
              <w:rPr>
                <w:rFonts w:cs="Arial"/>
                <w:szCs w:val="24"/>
              </w:rPr>
            </w:pPr>
            <w:r w:rsidRPr="005D7734">
              <w:rPr>
                <w:rFonts w:cs="Arial"/>
                <w:szCs w:val="24"/>
              </w:rPr>
              <w:t xml:space="preserve">Individuals who progress to a treatment process, and individuals accepted for direct transfer of care between specialised services, will be allocated a ‘Named Professional’ for the duration of the episode of care. This will be a regulated health professional who will act as the individual’s primary ‘point of contact’ with the service, provide basic information about interventions and the care process, and oversee and facilitate timely progress through the individual’s treatment plan, including those elements of the care pathway that are delivered by other providers. </w:t>
            </w:r>
            <w:r w:rsidR="00F95783" w:rsidRPr="005D7734">
              <w:rPr>
                <w:rFonts w:cs="Arial"/>
                <w:szCs w:val="24"/>
              </w:rPr>
              <w:t xml:space="preserve">See </w:t>
            </w:r>
            <w:r w:rsidR="00F95783" w:rsidRPr="005D7734">
              <w:rPr>
                <w:rFonts w:cs="Arial"/>
                <w:szCs w:val="24"/>
                <w:u w:val="single"/>
              </w:rPr>
              <w:t>Appendix G</w:t>
            </w:r>
            <w:r w:rsidR="00F95783" w:rsidRPr="005D7734">
              <w:rPr>
                <w:rFonts w:cs="Arial"/>
                <w:szCs w:val="24"/>
              </w:rPr>
              <w:t xml:space="preserve">. </w:t>
            </w:r>
          </w:p>
          <w:p w14:paraId="31DAF121" w14:textId="77777777" w:rsidR="00F95783" w:rsidRDefault="00A033AF" w:rsidP="005D7734">
            <w:pPr>
              <w:spacing w:after="120"/>
              <w:rPr>
                <w:rFonts w:cs="Arial"/>
                <w:b/>
                <w:szCs w:val="24"/>
              </w:rPr>
            </w:pPr>
            <w:r w:rsidRPr="00CB26F8">
              <w:rPr>
                <w:rFonts w:cs="Arial"/>
                <w:b/>
                <w:szCs w:val="24"/>
              </w:rPr>
              <w:t>Lead Clinician</w:t>
            </w:r>
            <w:r w:rsidR="009B651E" w:rsidRPr="00CB26F8">
              <w:rPr>
                <w:rFonts w:cs="Arial"/>
                <w:b/>
                <w:szCs w:val="24"/>
              </w:rPr>
              <w:t xml:space="preserve"> role in treatment process</w:t>
            </w:r>
          </w:p>
          <w:p w14:paraId="37615768" w14:textId="73A88199" w:rsidR="00CA5419" w:rsidRPr="005D7734" w:rsidRDefault="009B651E" w:rsidP="005D7734">
            <w:pPr>
              <w:pStyle w:val="ListParagraph"/>
              <w:numPr>
                <w:ilvl w:val="0"/>
                <w:numId w:val="36"/>
              </w:numPr>
              <w:spacing w:after="120"/>
              <w:rPr>
                <w:rFonts w:cs="Arial"/>
                <w:szCs w:val="24"/>
              </w:rPr>
            </w:pPr>
            <w:r w:rsidRPr="005D7734">
              <w:rPr>
                <w:rFonts w:cs="Arial"/>
                <w:szCs w:val="24"/>
              </w:rPr>
              <w:t xml:space="preserve">A </w:t>
            </w:r>
            <w:r w:rsidR="006446E1" w:rsidRPr="005D7734">
              <w:rPr>
                <w:rFonts w:cs="Arial"/>
                <w:szCs w:val="24"/>
              </w:rPr>
              <w:t xml:space="preserve">registered </w:t>
            </w:r>
            <w:r w:rsidRPr="005D7734">
              <w:rPr>
                <w:rFonts w:cs="Arial"/>
                <w:szCs w:val="24"/>
              </w:rPr>
              <w:t>medical practitioner or clinical or counselling psychologist will be</w:t>
            </w:r>
            <w:r w:rsidR="00A033AF" w:rsidRPr="005D7734">
              <w:rPr>
                <w:rFonts w:cs="Arial"/>
                <w:szCs w:val="24"/>
              </w:rPr>
              <w:t xml:space="preserve"> appointed as ‘Lead Clinician</w:t>
            </w:r>
            <w:r w:rsidRPr="005D7734">
              <w:rPr>
                <w:rFonts w:cs="Arial"/>
                <w:szCs w:val="24"/>
              </w:rPr>
              <w:t>’ for individuals who progress to a planned interv</w:t>
            </w:r>
            <w:r w:rsidR="00CA5419" w:rsidRPr="005D7734">
              <w:rPr>
                <w:rFonts w:cs="Arial"/>
                <w:szCs w:val="24"/>
              </w:rPr>
              <w:t>ention on the NHS care pathway.</w:t>
            </w:r>
            <w:r w:rsidR="00F95783" w:rsidRPr="005D7734">
              <w:rPr>
                <w:rFonts w:cs="Arial"/>
                <w:szCs w:val="24"/>
              </w:rPr>
              <w:t xml:space="preserve"> See </w:t>
            </w:r>
            <w:r w:rsidR="00F95783" w:rsidRPr="005D7734">
              <w:rPr>
                <w:rFonts w:cs="Arial"/>
                <w:szCs w:val="24"/>
                <w:u w:val="single"/>
              </w:rPr>
              <w:t>Appendix H</w:t>
            </w:r>
            <w:r w:rsidR="00F95783" w:rsidRPr="005D7734">
              <w:rPr>
                <w:rFonts w:cs="Arial"/>
                <w:szCs w:val="24"/>
              </w:rPr>
              <w:t>.</w:t>
            </w:r>
          </w:p>
          <w:p w14:paraId="6AC9F367" w14:textId="77777777" w:rsidR="00CA5419" w:rsidRPr="00CB26F8" w:rsidRDefault="009B651E" w:rsidP="005D7734">
            <w:pPr>
              <w:spacing w:after="120"/>
              <w:rPr>
                <w:rFonts w:cs="Arial"/>
                <w:b/>
                <w:szCs w:val="24"/>
              </w:rPr>
            </w:pPr>
            <w:r w:rsidRPr="00CB26F8">
              <w:rPr>
                <w:rFonts w:cs="Arial"/>
                <w:b/>
                <w:szCs w:val="24"/>
              </w:rPr>
              <w:t>Shared decision making</w:t>
            </w:r>
          </w:p>
          <w:p w14:paraId="608BA3E3" w14:textId="36256F53" w:rsidR="00CA5419" w:rsidRPr="005D7734" w:rsidRDefault="009B651E" w:rsidP="005D7734">
            <w:pPr>
              <w:pStyle w:val="ListParagraph"/>
              <w:numPr>
                <w:ilvl w:val="0"/>
                <w:numId w:val="36"/>
              </w:numPr>
              <w:spacing w:after="120"/>
              <w:rPr>
                <w:rFonts w:cs="Arial"/>
                <w:b/>
                <w:szCs w:val="24"/>
              </w:rPr>
            </w:pPr>
            <w:r w:rsidRPr="005D7734">
              <w:rPr>
                <w:rFonts w:cs="Arial"/>
                <w:szCs w:val="24"/>
              </w:rPr>
              <w:t xml:space="preserve">Shared Decision Making is a process in which individuals, when they reach a decision point in their health care, can review all the treatment options available to them and participate actively with their healthcare professional in making that decision. The Named Professional and Lead Clinician will provide individuals with the necessary information about </w:t>
            </w:r>
            <w:proofErr w:type="gramStart"/>
            <w:r w:rsidRPr="005D7734">
              <w:rPr>
                <w:rFonts w:cs="Arial"/>
                <w:szCs w:val="24"/>
              </w:rPr>
              <w:t>all of</w:t>
            </w:r>
            <w:proofErr w:type="gramEnd"/>
            <w:r w:rsidRPr="005D7734">
              <w:rPr>
                <w:rFonts w:cs="Arial"/>
                <w:szCs w:val="24"/>
              </w:rPr>
              <w:t xml:space="preserve"> the options available to them so that they may ask questions, explore the options available, and take an active role in determining a treatment route which best suits their needs and preferences, and is clinically appropriate.</w:t>
            </w:r>
          </w:p>
          <w:p w14:paraId="681B23D6" w14:textId="77777777" w:rsidR="00CA5419" w:rsidRPr="00CB26F8" w:rsidRDefault="00CA5419" w:rsidP="005D7734">
            <w:pPr>
              <w:spacing w:after="120"/>
              <w:rPr>
                <w:rFonts w:cs="Arial"/>
                <w:b/>
                <w:szCs w:val="24"/>
              </w:rPr>
            </w:pPr>
            <w:r w:rsidRPr="00CB26F8">
              <w:rPr>
                <w:rFonts w:cs="Arial"/>
                <w:b/>
                <w:szCs w:val="24"/>
              </w:rPr>
              <w:t>Capacity and informed consent</w:t>
            </w:r>
          </w:p>
          <w:p w14:paraId="07F57B34" w14:textId="77777777" w:rsidR="005D7734" w:rsidRPr="005D7734" w:rsidRDefault="004363D8" w:rsidP="005D7734">
            <w:pPr>
              <w:pStyle w:val="ListParagraph"/>
              <w:numPr>
                <w:ilvl w:val="0"/>
                <w:numId w:val="36"/>
              </w:numPr>
              <w:spacing w:after="120"/>
              <w:rPr>
                <w:rFonts w:cs="Arial"/>
                <w:b/>
                <w:szCs w:val="24"/>
              </w:rPr>
            </w:pPr>
            <w:r w:rsidRPr="005D7734">
              <w:rPr>
                <w:rFonts w:cs="Arial"/>
                <w:szCs w:val="24"/>
              </w:rPr>
              <w:t>The Named Professional</w:t>
            </w:r>
            <w:r w:rsidR="009B651E" w:rsidRPr="005D7734">
              <w:rPr>
                <w:rFonts w:cs="Arial"/>
                <w:szCs w:val="24"/>
              </w:rPr>
              <w:t xml:space="preserve"> and Lead </w:t>
            </w:r>
            <w:r w:rsidRPr="005D7734">
              <w:rPr>
                <w:rFonts w:cs="Arial"/>
                <w:szCs w:val="24"/>
              </w:rPr>
              <w:t xml:space="preserve">Clinician </w:t>
            </w:r>
            <w:r w:rsidR="009B651E" w:rsidRPr="005D7734">
              <w:rPr>
                <w:rFonts w:cs="Arial"/>
                <w:szCs w:val="24"/>
              </w:rPr>
              <w:t xml:space="preserve">must make all efforts to ensure that individuals are aware of the longer-term consequences of the interventions offered to them. The consequences of treatment decisions can be significant and </w:t>
            </w:r>
            <w:proofErr w:type="gramStart"/>
            <w:r w:rsidR="009B651E" w:rsidRPr="005D7734">
              <w:rPr>
                <w:rFonts w:cs="Arial"/>
                <w:szCs w:val="24"/>
              </w:rPr>
              <w:t>life-changing</w:t>
            </w:r>
            <w:proofErr w:type="gramEnd"/>
            <w:r w:rsidR="009B651E" w:rsidRPr="005D7734">
              <w:rPr>
                <w:rFonts w:cs="Arial"/>
                <w:szCs w:val="24"/>
              </w:rPr>
              <w:t>.</w:t>
            </w:r>
          </w:p>
          <w:p w14:paraId="3CC4A135" w14:textId="77777777" w:rsidR="005D7734" w:rsidRPr="005D7734" w:rsidRDefault="005D7734" w:rsidP="005D7734">
            <w:pPr>
              <w:pStyle w:val="ListParagraph"/>
              <w:spacing w:after="120"/>
              <w:ind w:left="360"/>
              <w:rPr>
                <w:rFonts w:cs="Arial"/>
                <w:b/>
                <w:szCs w:val="24"/>
              </w:rPr>
            </w:pPr>
          </w:p>
          <w:p w14:paraId="0E611BE8" w14:textId="17DCAD6A" w:rsidR="001C1E0F" w:rsidRPr="005D7734" w:rsidRDefault="009B651E" w:rsidP="005D7734">
            <w:pPr>
              <w:pStyle w:val="ListParagraph"/>
              <w:numPr>
                <w:ilvl w:val="0"/>
                <w:numId w:val="36"/>
              </w:numPr>
              <w:spacing w:after="120"/>
              <w:rPr>
                <w:rFonts w:cs="Arial"/>
                <w:b/>
                <w:szCs w:val="24"/>
              </w:rPr>
            </w:pPr>
            <w:r w:rsidRPr="005D7734">
              <w:rPr>
                <w:rFonts w:cs="Arial"/>
                <w:szCs w:val="24"/>
              </w:rPr>
              <w:t xml:space="preserve">The process of obtaining informed consent is an important aspect of ethical assessment and intervention, including the emotional, social and factual issues, </w:t>
            </w:r>
            <w:proofErr w:type="gramStart"/>
            <w:r w:rsidRPr="005D7734">
              <w:rPr>
                <w:rFonts w:cs="Arial"/>
                <w:szCs w:val="24"/>
              </w:rPr>
              <w:t>so as to</w:t>
            </w:r>
            <w:proofErr w:type="gramEnd"/>
            <w:r w:rsidRPr="005D7734">
              <w:rPr>
                <w:rFonts w:cs="Arial"/>
                <w:szCs w:val="24"/>
              </w:rPr>
              <w:t xml:space="preserve"> enable the individual to make informed decisions about the treatment options, benefits, material risks, and the alternatives to the treatments proposed (including the option of having no treatment). Individuals must be given sufficient time to reflect on the clinical advice and the potential treatment options before </w:t>
            </w:r>
            <w:r w:rsidR="00CA5419" w:rsidRPr="005D7734">
              <w:rPr>
                <w:rFonts w:cs="Arial"/>
                <w:szCs w:val="24"/>
              </w:rPr>
              <w:t>deciding what is best for them.</w:t>
            </w:r>
            <w:r w:rsidR="001C1E0F" w:rsidRPr="005D7734">
              <w:rPr>
                <w:rFonts w:cs="Arial"/>
                <w:szCs w:val="24"/>
              </w:rPr>
              <w:t xml:space="preserve"> Clinicians should be mindful that it is possible that individuals may lack capacity</w:t>
            </w:r>
            <w:r w:rsidR="001E0B76" w:rsidRPr="005D7734">
              <w:rPr>
                <w:rFonts w:cs="Arial"/>
                <w:szCs w:val="24"/>
              </w:rPr>
              <w:t>.</w:t>
            </w:r>
          </w:p>
          <w:p w14:paraId="3E785D89" w14:textId="77777777" w:rsidR="00DB39A3" w:rsidRPr="00CB26F8" w:rsidRDefault="009B651E" w:rsidP="005D7734">
            <w:pPr>
              <w:spacing w:after="120"/>
              <w:rPr>
                <w:rFonts w:cs="Arial"/>
                <w:b/>
                <w:szCs w:val="24"/>
              </w:rPr>
            </w:pPr>
            <w:r w:rsidRPr="00CB26F8">
              <w:rPr>
                <w:rFonts w:cs="Arial"/>
                <w:b/>
                <w:szCs w:val="24"/>
              </w:rPr>
              <w:t xml:space="preserve">Loss of </w:t>
            </w:r>
            <w:r w:rsidR="00777F5F">
              <w:rPr>
                <w:rFonts w:cs="Arial"/>
                <w:b/>
                <w:szCs w:val="24"/>
              </w:rPr>
              <w:t>f</w:t>
            </w:r>
            <w:r w:rsidRPr="00CB26F8">
              <w:rPr>
                <w:rFonts w:cs="Arial"/>
                <w:b/>
                <w:szCs w:val="24"/>
              </w:rPr>
              <w:t>ertility</w:t>
            </w:r>
          </w:p>
          <w:p w14:paraId="07D317FF" w14:textId="77777777" w:rsidR="005D7734" w:rsidRDefault="009B651E" w:rsidP="005D7734">
            <w:pPr>
              <w:pStyle w:val="ListParagraph"/>
              <w:numPr>
                <w:ilvl w:val="0"/>
                <w:numId w:val="36"/>
              </w:numPr>
              <w:spacing w:after="120"/>
              <w:rPr>
                <w:rFonts w:cs="Arial"/>
                <w:szCs w:val="24"/>
              </w:rPr>
            </w:pPr>
            <w:r w:rsidRPr="005D7734">
              <w:rPr>
                <w:rFonts w:cs="Arial"/>
                <w:szCs w:val="24"/>
              </w:rPr>
              <w:t xml:space="preserve">The individual must be provided with early advice about the likely impact of medical interventions to physical health. Where loss of fertility is likely the Provider will provide a general description of the options for conservation of reproductive potential, and, where appropriate and with the individual’s consent, make a recommendation to the GP that they </w:t>
            </w:r>
            <w:r w:rsidR="00777F5F" w:rsidRPr="005D7734">
              <w:rPr>
                <w:rFonts w:cs="Arial"/>
                <w:szCs w:val="24"/>
              </w:rPr>
              <w:t>consider</w:t>
            </w:r>
            <w:r w:rsidRPr="005D7734">
              <w:rPr>
                <w:rFonts w:cs="Arial"/>
                <w:szCs w:val="24"/>
              </w:rPr>
              <w:t xml:space="preserve"> a referral to a fertility service</w:t>
            </w:r>
            <w:r w:rsidR="009277F7" w:rsidRPr="005D7734">
              <w:rPr>
                <w:rFonts w:cs="Arial"/>
                <w:szCs w:val="24"/>
              </w:rPr>
              <w:t xml:space="preserve"> for cryopreservation of eggs or sperm for use in future fertility treatment (gamete storage).</w:t>
            </w:r>
            <w:r w:rsidRPr="005D7734">
              <w:rPr>
                <w:rFonts w:cs="Arial"/>
                <w:szCs w:val="24"/>
              </w:rPr>
              <w:t xml:space="preserve"> </w:t>
            </w:r>
          </w:p>
          <w:p w14:paraId="33BBDBE9" w14:textId="77777777" w:rsidR="005D7734" w:rsidRDefault="005D7734" w:rsidP="005D7734">
            <w:pPr>
              <w:pStyle w:val="ListParagraph"/>
              <w:spacing w:after="120"/>
              <w:ind w:left="360"/>
              <w:rPr>
                <w:rFonts w:cs="Arial"/>
                <w:szCs w:val="24"/>
              </w:rPr>
            </w:pPr>
          </w:p>
          <w:p w14:paraId="36DD13F5" w14:textId="39297DFD" w:rsidR="00CA5419" w:rsidRPr="005D7734" w:rsidRDefault="006471C5" w:rsidP="005D7734">
            <w:pPr>
              <w:pStyle w:val="ListParagraph"/>
              <w:numPr>
                <w:ilvl w:val="0"/>
                <w:numId w:val="36"/>
              </w:numPr>
              <w:spacing w:after="120"/>
              <w:rPr>
                <w:rFonts w:cs="Arial"/>
                <w:szCs w:val="24"/>
              </w:rPr>
            </w:pPr>
            <w:r w:rsidRPr="005D7734">
              <w:rPr>
                <w:rFonts w:cs="Arial"/>
                <w:szCs w:val="24"/>
              </w:rPr>
              <w:t xml:space="preserve">NHS England is not the responsible commissioner for gamete storage. </w:t>
            </w:r>
            <w:r w:rsidR="009D4EF1" w:rsidRPr="005D7734">
              <w:rPr>
                <w:rFonts w:cs="Arial"/>
                <w:szCs w:val="24"/>
              </w:rPr>
              <w:t xml:space="preserve">An individual’s eligibility for NHS-funded </w:t>
            </w:r>
            <w:r w:rsidR="009B651E" w:rsidRPr="005D7734">
              <w:rPr>
                <w:rFonts w:cs="Arial"/>
                <w:szCs w:val="24"/>
              </w:rPr>
              <w:t xml:space="preserve">gamete storage </w:t>
            </w:r>
            <w:r w:rsidR="009D4EF1" w:rsidRPr="005D7734">
              <w:rPr>
                <w:rFonts w:cs="Arial"/>
                <w:szCs w:val="24"/>
              </w:rPr>
              <w:t xml:space="preserve">is </w:t>
            </w:r>
            <w:r w:rsidRPr="005D7734">
              <w:rPr>
                <w:rFonts w:cs="Arial"/>
                <w:szCs w:val="24"/>
              </w:rPr>
              <w:t xml:space="preserve">determined </w:t>
            </w:r>
            <w:r w:rsidR="00DF167F" w:rsidRPr="005D7734">
              <w:rPr>
                <w:rFonts w:cs="Arial"/>
                <w:szCs w:val="24"/>
              </w:rPr>
              <w:t xml:space="preserve">in each case </w:t>
            </w:r>
            <w:r w:rsidRPr="005D7734">
              <w:rPr>
                <w:rFonts w:cs="Arial"/>
                <w:szCs w:val="24"/>
              </w:rPr>
              <w:t xml:space="preserve">by </w:t>
            </w:r>
            <w:r w:rsidR="009B651E" w:rsidRPr="005D7734">
              <w:rPr>
                <w:rFonts w:cs="Arial"/>
                <w:szCs w:val="24"/>
              </w:rPr>
              <w:t>the individual’</w:t>
            </w:r>
            <w:r w:rsidR="00CA5419" w:rsidRPr="005D7734">
              <w:rPr>
                <w:rFonts w:cs="Arial"/>
                <w:szCs w:val="24"/>
              </w:rPr>
              <w:t xml:space="preserve">s </w:t>
            </w:r>
            <w:r w:rsidR="00286B48" w:rsidRPr="005D7734">
              <w:rPr>
                <w:rFonts w:cs="Arial"/>
                <w:szCs w:val="24"/>
              </w:rPr>
              <w:t>Integrated Care System</w:t>
            </w:r>
            <w:r w:rsidR="00CA5419" w:rsidRPr="005D7734">
              <w:rPr>
                <w:rFonts w:cs="Arial"/>
                <w:szCs w:val="24"/>
              </w:rPr>
              <w:t>.</w:t>
            </w:r>
          </w:p>
          <w:p w14:paraId="5A536B07" w14:textId="77777777" w:rsidR="00CA5419" w:rsidRPr="00CB26F8" w:rsidRDefault="009B651E" w:rsidP="00EF46B3">
            <w:pPr>
              <w:spacing w:after="120"/>
              <w:rPr>
                <w:rFonts w:cs="Arial"/>
                <w:b/>
                <w:szCs w:val="24"/>
              </w:rPr>
            </w:pPr>
            <w:r w:rsidRPr="00CB26F8">
              <w:rPr>
                <w:rFonts w:cs="Arial"/>
                <w:b/>
                <w:szCs w:val="24"/>
              </w:rPr>
              <w:t>The Provider’s role in the treatment process</w:t>
            </w:r>
          </w:p>
          <w:p w14:paraId="2134A5FA" w14:textId="77777777" w:rsidR="00EF46B3" w:rsidRPr="00EF46B3" w:rsidRDefault="009B651E" w:rsidP="00EF46B3">
            <w:pPr>
              <w:pStyle w:val="ListParagraph"/>
              <w:numPr>
                <w:ilvl w:val="0"/>
                <w:numId w:val="36"/>
              </w:numPr>
              <w:spacing w:after="120"/>
              <w:rPr>
                <w:rFonts w:cs="Arial"/>
                <w:b/>
                <w:szCs w:val="24"/>
              </w:rPr>
            </w:pPr>
            <w:r w:rsidRPr="00EF46B3">
              <w:rPr>
                <w:rFonts w:cs="Arial"/>
                <w:szCs w:val="24"/>
              </w:rPr>
              <w:t xml:space="preserve">Individuals on the gender dysphoria pathway will have different needs, and the pathway will not always be linear or sequential. </w:t>
            </w:r>
            <w:r w:rsidR="006446E1" w:rsidRPr="00EF46B3">
              <w:rPr>
                <w:rFonts w:cs="Arial"/>
                <w:szCs w:val="24"/>
              </w:rPr>
              <w:t>T</w:t>
            </w:r>
            <w:r w:rsidRPr="00EF46B3">
              <w:rPr>
                <w:rFonts w:cs="Arial"/>
                <w:szCs w:val="24"/>
              </w:rPr>
              <w:t>he Provider will be flexible and adaptable in matching the type, timing and order of interventions, and the duration of the entire treatment episode.</w:t>
            </w:r>
          </w:p>
          <w:p w14:paraId="79EAA1D2" w14:textId="77777777" w:rsidR="00EF46B3" w:rsidRPr="00EF46B3" w:rsidRDefault="00EF46B3" w:rsidP="00EF46B3">
            <w:pPr>
              <w:pStyle w:val="ListParagraph"/>
              <w:spacing w:after="120"/>
              <w:ind w:left="360"/>
              <w:rPr>
                <w:rFonts w:cs="Arial"/>
                <w:b/>
                <w:szCs w:val="24"/>
              </w:rPr>
            </w:pPr>
          </w:p>
          <w:p w14:paraId="59F7622A" w14:textId="442A2E07" w:rsidR="005D7E08" w:rsidRPr="00EF46B3" w:rsidRDefault="009B651E" w:rsidP="00EF46B3">
            <w:pPr>
              <w:pStyle w:val="ListParagraph"/>
              <w:numPr>
                <w:ilvl w:val="0"/>
                <w:numId w:val="36"/>
              </w:numPr>
              <w:spacing w:after="120"/>
              <w:rPr>
                <w:rFonts w:cs="Arial"/>
                <w:b/>
                <w:szCs w:val="24"/>
              </w:rPr>
            </w:pPr>
            <w:r w:rsidRPr="00EF46B3">
              <w:rPr>
                <w:rFonts w:cs="Arial"/>
                <w:szCs w:val="24"/>
              </w:rPr>
              <w:t>Individuals returning for treatment after a planned deferral will have a single ‘re-engagement’ consult</w:t>
            </w:r>
            <w:r w:rsidR="004363D8" w:rsidRPr="00EF46B3">
              <w:rPr>
                <w:rFonts w:cs="Arial"/>
                <w:szCs w:val="24"/>
              </w:rPr>
              <w:t>ation with the Lead Clinician</w:t>
            </w:r>
            <w:r w:rsidRPr="00EF46B3">
              <w:rPr>
                <w:rFonts w:cs="Arial"/>
                <w:szCs w:val="24"/>
              </w:rPr>
              <w:t xml:space="preserve"> but will not be fully re-assessed unless there are compelling clinical reasons to do this (these must be carefully explained to the patient).</w:t>
            </w:r>
          </w:p>
          <w:p w14:paraId="027DC026" w14:textId="77777777" w:rsidR="00CA5419" w:rsidRPr="00CB26F8" w:rsidRDefault="009B651E" w:rsidP="00EF46B3">
            <w:pPr>
              <w:spacing w:after="120"/>
              <w:rPr>
                <w:rFonts w:cs="Arial"/>
                <w:b/>
                <w:szCs w:val="24"/>
              </w:rPr>
            </w:pPr>
            <w:r w:rsidRPr="00CB26F8">
              <w:rPr>
                <w:rFonts w:cs="Arial"/>
                <w:b/>
                <w:szCs w:val="24"/>
              </w:rPr>
              <w:t>Interventions that are delivered directly by the Provider</w:t>
            </w:r>
          </w:p>
          <w:p w14:paraId="2D4131F2" w14:textId="77777777" w:rsidR="00CA5419" w:rsidRPr="00CB26F8" w:rsidRDefault="009B651E" w:rsidP="00753AAE">
            <w:pPr>
              <w:numPr>
                <w:ilvl w:val="0"/>
                <w:numId w:val="16"/>
              </w:numPr>
              <w:spacing w:after="120"/>
              <w:rPr>
                <w:rFonts w:cs="Arial"/>
                <w:b/>
                <w:szCs w:val="24"/>
              </w:rPr>
            </w:pPr>
            <w:r w:rsidRPr="00CB26F8">
              <w:rPr>
                <w:rFonts w:cs="Arial"/>
                <w:b/>
                <w:i/>
                <w:szCs w:val="24"/>
              </w:rPr>
              <w:t>Voice and Communication Therapy</w:t>
            </w:r>
          </w:p>
          <w:p w14:paraId="53462923" w14:textId="77777777" w:rsidR="00EF46B3" w:rsidRDefault="009B651E" w:rsidP="00EF46B3">
            <w:pPr>
              <w:pStyle w:val="ListParagraph"/>
              <w:numPr>
                <w:ilvl w:val="0"/>
                <w:numId w:val="36"/>
              </w:numPr>
              <w:spacing w:after="120"/>
              <w:rPr>
                <w:rFonts w:cs="Arial"/>
                <w:szCs w:val="24"/>
              </w:rPr>
            </w:pPr>
            <w:r w:rsidRPr="00EF46B3">
              <w:rPr>
                <w:rFonts w:cs="Arial"/>
                <w:szCs w:val="24"/>
              </w:rPr>
              <w:t xml:space="preserve">Each Provider must ensure access to an appropriate level of provision of specialist voice and communication therapy </w:t>
            </w:r>
            <w:proofErr w:type="gramStart"/>
            <w:r w:rsidRPr="00EF46B3">
              <w:rPr>
                <w:rFonts w:cs="Arial"/>
                <w:szCs w:val="24"/>
              </w:rPr>
              <w:t>on the basis of</w:t>
            </w:r>
            <w:proofErr w:type="gramEnd"/>
            <w:r w:rsidRPr="00EF46B3">
              <w:rPr>
                <w:rFonts w:cs="Arial"/>
                <w:szCs w:val="24"/>
              </w:rPr>
              <w:t xml:space="preserve"> clinical need and individual choice</w:t>
            </w:r>
            <w:r w:rsidR="00DA7922">
              <w:rPr>
                <w:rStyle w:val="FootnoteReference"/>
                <w:rFonts w:eastAsia="Calibri" w:cs="Arial"/>
                <w:szCs w:val="24"/>
                <w:u w:color="000000"/>
                <w:bdr w:val="nil"/>
                <w:shd w:val="clear" w:color="auto" w:fill="FFFFFF"/>
                <w:lang w:val="en-US"/>
              </w:rPr>
              <w:footnoteReference w:id="2"/>
            </w:r>
            <w:r w:rsidRPr="00EF46B3">
              <w:rPr>
                <w:rFonts w:cs="Arial"/>
                <w:szCs w:val="24"/>
              </w:rPr>
              <w:t xml:space="preserve">. </w:t>
            </w:r>
            <w:r w:rsidR="00DA7922" w:rsidRPr="00EF46B3">
              <w:rPr>
                <w:rFonts w:cs="Arial"/>
                <w:szCs w:val="24"/>
              </w:rPr>
              <w:t xml:space="preserve">The number and frequency of sessions will be variable depending on the individual’s </w:t>
            </w:r>
            <w:proofErr w:type="gramStart"/>
            <w:r w:rsidR="00DA7922" w:rsidRPr="00EF46B3">
              <w:rPr>
                <w:rFonts w:cs="Arial"/>
                <w:szCs w:val="24"/>
              </w:rPr>
              <w:t>needs, and</w:t>
            </w:r>
            <w:proofErr w:type="gramEnd"/>
            <w:r w:rsidR="00DA7922" w:rsidRPr="00EF46B3">
              <w:rPr>
                <w:rFonts w:cs="Arial"/>
                <w:szCs w:val="24"/>
              </w:rPr>
              <w:t xml:space="preserve"> is likely to comprise a combination of individual and group therapy sessions.</w:t>
            </w:r>
          </w:p>
          <w:p w14:paraId="695A5752" w14:textId="77777777" w:rsidR="00EF46B3" w:rsidRDefault="00EF46B3" w:rsidP="00EF46B3">
            <w:pPr>
              <w:pStyle w:val="ListParagraph"/>
              <w:spacing w:after="120"/>
              <w:ind w:left="360"/>
              <w:rPr>
                <w:rFonts w:cs="Arial"/>
                <w:szCs w:val="24"/>
              </w:rPr>
            </w:pPr>
          </w:p>
          <w:p w14:paraId="7422E045" w14:textId="4E4C7FA8" w:rsidR="00CA5419" w:rsidRDefault="009B651E" w:rsidP="00EF46B3">
            <w:pPr>
              <w:pStyle w:val="ListParagraph"/>
              <w:numPr>
                <w:ilvl w:val="0"/>
                <w:numId w:val="36"/>
              </w:numPr>
              <w:spacing w:after="120"/>
              <w:rPr>
                <w:rFonts w:cs="Arial"/>
                <w:szCs w:val="24"/>
              </w:rPr>
            </w:pPr>
            <w:r w:rsidRPr="00EF46B3">
              <w:rPr>
                <w:rFonts w:cs="Arial"/>
                <w:szCs w:val="24"/>
              </w:rPr>
              <w:t xml:space="preserve">The objective of therapy is to facilitate changes in the individual’s voice and communicative profile thereby improving quality of life and alleviating distress related to gender dysphoria. </w:t>
            </w:r>
            <w:r w:rsidR="006446E1" w:rsidRPr="00EF46B3">
              <w:rPr>
                <w:rFonts w:cs="Arial"/>
                <w:szCs w:val="24"/>
              </w:rPr>
              <w:t>In less complex cases i</w:t>
            </w:r>
            <w:r w:rsidRPr="00EF46B3">
              <w:rPr>
                <w:rFonts w:cs="Arial"/>
                <w:szCs w:val="24"/>
              </w:rPr>
              <w:t xml:space="preserve">t may be </w:t>
            </w:r>
            <w:r w:rsidR="006446E1" w:rsidRPr="00EF46B3">
              <w:rPr>
                <w:rFonts w:cs="Arial"/>
                <w:szCs w:val="24"/>
              </w:rPr>
              <w:t xml:space="preserve">appropriate </w:t>
            </w:r>
            <w:r w:rsidR="00DE7DE1" w:rsidRPr="00EF46B3">
              <w:rPr>
                <w:rFonts w:cs="Arial"/>
                <w:szCs w:val="24"/>
              </w:rPr>
              <w:t>for voice</w:t>
            </w:r>
            <w:r w:rsidRPr="00EF46B3">
              <w:rPr>
                <w:rFonts w:cs="Arial"/>
                <w:szCs w:val="24"/>
              </w:rPr>
              <w:t xml:space="preserve"> and communication interventions to be provided by </w:t>
            </w:r>
            <w:proofErr w:type="gramStart"/>
            <w:r w:rsidRPr="00EF46B3">
              <w:rPr>
                <w:rFonts w:cs="Arial"/>
                <w:szCs w:val="24"/>
              </w:rPr>
              <w:t>appropriately-supported</w:t>
            </w:r>
            <w:proofErr w:type="gramEnd"/>
            <w:r w:rsidRPr="00EF46B3">
              <w:rPr>
                <w:rFonts w:cs="Arial"/>
                <w:szCs w:val="24"/>
              </w:rPr>
              <w:t xml:space="preserve">, non-specialist, local speech and language services (commissioned by </w:t>
            </w:r>
            <w:r w:rsidR="006446E1" w:rsidRPr="00EF46B3">
              <w:rPr>
                <w:rFonts w:cs="Arial"/>
                <w:szCs w:val="24"/>
              </w:rPr>
              <w:t xml:space="preserve">the individual’s </w:t>
            </w:r>
            <w:r w:rsidR="00286B48" w:rsidRPr="00EF46B3">
              <w:rPr>
                <w:rFonts w:cs="Arial"/>
                <w:szCs w:val="24"/>
              </w:rPr>
              <w:t>Integrated Care System</w:t>
            </w:r>
            <w:r w:rsidRPr="00EF46B3">
              <w:rPr>
                <w:rFonts w:cs="Arial"/>
                <w:szCs w:val="24"/>
              </w:rPr>
              <w:t xml:space="preserve">) following a referral by the </w:t>
            </w:r>
            <w:r w:rsidR="00DB0268" w:rsidRPr="00EF46B3">
              <w:rPr>
                <w:rFonts w:cs="Arial"/>
                <w:szCs w:val="24"/>
              </w:rPr>
              <w:t xml:space="preserve">Provider. </w:t>
            </w:r>
            <w:r w:rsidRPr="00EF46B3">
              <w:rPr>
                <w:rFonts w:cs="Arial"/>
                <w:szCs w:val="24"/>
              </w:rPr>
              <w:t xml:space="preserve">Any pre-existing voice difficulty </w:t>
            </w:r>
            <w:r w:rsidR="00EF5FEE" w:rsidRPr="00EF46B3">
              <w:rPr>
                <w:rFonts w:cs="Arial"/>
                <w:szCs w:val="24"/>
              </w:rPr>
              <w:t>that would impede successful specialist voice modification should</w:t>
            </w:r>
            <w:r w:rsidRPr="00EF46B3">
              <w:rPr>
                <w:rFonts w:cs="Arial"/>
                <w:szCs w:val="24"/>
              </w:rPr>
              <w:t xml:space="preserve"> </w:t>
            </w:r>
            <w:r w:rsidR="00EF5FEE" w:rsidRPr="00EF46B3">
              <w:rPr>
                <w:rFonts w:cs="Arial"/>
                <w:szCs w:val="24"/>
              </w:rPr>
              <w:t xml:space="preserve">first </w:t>
            </w:r>
            <w:r w:rsidRPr="00EF46B3">
              <w:rPr>
                <w:rFonts w:cs="Arial"/>
                <w:szCs w:val="24"/>
              </w:rPr>
              <w:t>be treated by local speech and language therapy services</w:t>
            </w:r>
            <w:r w:rsidR="00777F5F" w:rsidRPr="00EF46B3">
              <w:rPr>
                <w:rFonts w:cs="Arial"/>
                <w:szCs w:val="24"/>
              </w:rPr>
              <w:t xml:space="preserve"> </w:t>
            </w:r>
            <w:r w:rsidRPr="00EF46B3">
              <w:rPr>
                <w:rFonts w:cs="Arial"/>
                <w:szCs w:val="24"/>
              </w:rPr>
              <w:t xml:space="preserve">(for which commissioning responsibility rests with </w:t>
            </w:r>
            <w:r w:rsidR="00286B48" w:rsidRPr="00EF46B3">
              <w:rPr>
                <w:rFonts w:cs="Arial"/>
                <w:szCs w:val="24"/>
              </w:rPr>
              <w:t>Integrated Care Systems</w:t>
            </w:r>
            <w:r w:rsidRPr="00EF46B3">
              <w:rPr>
                <w:rFonts w:cs="Arial"/>
                <w:szCs w:val="24"/>
              </w:rPr>
              <w:t>).</w:t>
            </w:r>
          </w:p>
          <w:p w14:paraId="70DA638E" w14:textId="77777777" w:rsidR="004B6921" w:rsidRPr="004B6921" w:rsidRDefault="004B6921" w:rsidP="009D579A">
            <w:pPr>
              <w:pStyle w:val="ListParagraph"/>
              <w:rPr>
                <w:rFonts w:cs="Arial"/>
                <w:szCs w:val="24"/>
              </w:rPr>
            </w:pPr>
          </w:p>
          <w:p w14:paraId="3D834AD3" w14:textId="77777777" w:rsidR="004B6921" w:rsidRPr="00EF46B3" w:rsidRDefault="004B6921" w:rsidP="009D579A">
            <w:pPr>
              <w:pStyle w:val="ListParagraph"/>
              <w:spacing w:after="120"/>
              <w:ind w:left="360"/>
              <w:rPr>
                <w:rFonts w:cs="Arial"/>
                <w:szCs w:val="24"/>
              </w:rPr>
            </w:pPr>
          </w:p>
          <w:p w14:paraId="7902B218" w14:textId="7DBA672C" w:rsidR="00CA5419" w:rsidRPr="009D579A" w:rsidRDefault="009A5DB4" w:rsidP="009D579A">
            <w:pPr>
              <w:pStyle w:val="ListParagraph"/>
              <w:numPr>
                <w:ilvl w:val="0"/>
                <w:numId w:val="16"/>
              </w:numPr>
              <w:spacing w:after="120"/>
              <w:rPr>
                <w:rFonts w:cs="Arial"/>
                <w:b/>
                <w:szCs w:val="24"/>
              </w:rPr>
            </w:pPr>
            <w:r w:rsidRPr="009D579A">
              <w:rPr>
                <w:rFonts w:cs="Arial"/>
                <w:b/>
                <w:i/>
                <w:szCs w:val="24"/>
              </w:rPr>
              <w:t>Specialised</w:t>
            </w:r>
            <w:r w:rsidR="009B651E" w:rsidRPr="009D579A">
              <w:rPr>
                <w:rFonts w:cs="Arial"/>
                <w:b/>
                <w:i/>
                <w:szCs w:val="24"/>
              </w:rPr>
              <w:t xml:space="preserve"> psychological interventions</w:t>
            </w:r>
          </w:p>
          <w:p w14:paraId="36CA9869" w14:textId="27D25BE2" w:rsidR="00CA5419" w:rsidRPr="00EF46B3" w:rsidRDefault="009B651E" w:rsidP="00EF46B3">
            <w:pPr>
              <w:pStyle w:val="ListParagraph"/>
              <w:numPr>
                <w:ilvl w:val="0"/>
                <w:numId w:val="36"/>
              </w:numPr>
              <w:spacing w:after="120"/>
              <w:rPr>
                <w:rFonts w:cs="Arial"/>
                <w:b/>
                <w:szCs w:val="24"/>
              </w:rPr>
            </w:pPr>
            <w:r w:rsidRPr="00EF46B3">
              <w:rPr>
                <w:rFonts w:cs="Arial"/>
                <w:szCs w:val="24"/>
              </w:rPr>
              <w:t xml:space="preserve">The Provider will make available specific psychological interventions that are adapted to the needs of the individual based on psychological assessment and collaborative formulation. Psychological interventions will not be offered routinely or considered mandatory, but instead with the consent of the individual and focussed on specific psychological </w:t>
            </w:r>
            <w:r w:rsidR="00053605" w:rsidRPr="00EF46B3">
              <w:rPr>
                <w:rFonts w:cs="Arial"/>
                <w:szCs w:val="24"/>
              </w:rPr>
              <w:t>needs.</w:t>
            </w:r>
            <w:r w:rsidR="00EF46B3">
              <w:rPr>
                <w:rFonts w:cs="Arial"/>
                <w:szCs w:val="24"/>
              </w:rPr>
              <w:t xml:space="preserve"> </w:t>
            </w:r>
            <w:r w:rsidR="006118C1" w:rsidRPr="00EF46B3">
              <w:rPr>
                <w:rFonts w:cs="Arial"/>
                <w:szCs w:val="24"/>
              </w:rPr>
              <w:t>Other evidence-based psychological therapies for couples or groups may be offered if, based on psychological assessment and collaborative formulation, they meet the needs of the individual engaged in this care pathway.</w:t>
            </w:r>
            <w:r w:rsidR="009A5DB4" w:rsidRPr="00EF46B3">
              <w:rPr>
                <w:rFonts w:cs="Arial"/>
                <w:szCs w:val="24"/>
              </w:rPr>
              <w:t xml:space="preserve"> </w:t>
            </w:r>
            <w:r w:rsidR="00053605" w:rsidRPr="00EF46B3">
              <w:rPr>
                <w:rFonts w:cs="Arial"/>
                <w:szCs w:val="24"/>
              </w:rPr>
              <w:t xml:space="preserve">See </w:t>
            </w:r>
            <w:r w:rsidR="00954E07" w:rsidRPr="00EF46B3">
              <w:rPr>
                <w:rFonts w:cs="Arial"/>
                <w:szCs w:val="24"/>
                <w:u w:val="single"/>
              </w:rPr>
              <w:t>Appendix I</w:t>
            </w:r>
            <w:r w:rsidR="009A5DB4" w:rsidRPr="00EF46B3">
              <w:rPr>
                <w:rFonts w:cs="Arial"/>
                <w:szCs w:val="24"/>
              </w:rPr>
              <w:t>.</w:t>
            </w:r>
          </w:p>
          <w:p w14:paraId="1545CDB0" w14:textId="77777777" w:rsidR="00CA5419" w:rsidRPr="00CB26F8" w:rsidRDefault="009B651E" w:rsidP="00EF46B3">
            <w:pPr>
              <w:spacing w:after="120"/>
              <w:rPr>
                <w:rFonts w:cs="Arial"/>
                <w:szCs w:val="24"/>
              </w:rPr>
            </w:pPr>
            <w:r w:rsidRPr="00CB26F8">
              <w:rPr>
                <w:rFonts w:cs="Arial"/>
                <w:b/>
                <w:i/>
                <w:szCs w:val="24"/>
              </w:rPr>
              <w:t>Conversion therapy</w:t>
            </w:r>
          </w:p>
          <w:p w14:paraId="31F08EBD" w14:textId="03F0ED47" w:rsidR="00CA5419" w:rsidRDefault="009B651E" w:rsidP="00EF46B3">
            <w:pPr>
              <w:pStyle w:val="ListParagraph"/>
              <w:numPr>
                <w:ilvl w:val="0"/>
                <w:numId w:val="36"/>
              </w:numPr>
              <w:spacing w:after="120"/>
              <w:rPr>
                <w:rFonts w:cs="Arial"/>
                <w:szCs w:val="24"/>
              </w:rPr>
            </w:pPr>
            <w:r w:rsidRPr="00EF46B3">
              <w:rPr>
                <w:rFonts w:cs="Arial"/>
                <w:szCs w:val="24"/>
              </w:rPr>
              <w:t xml:space="preserve">Providers will not deliver, promote or refer individuals to any form of conversion therapy. The practice of conversion therapy is unethical and potentially harmful. For the purposes of this document ’conversion therapy’ is an umbrella term for a therapeutic approach, or any model or individual viewpoint that demonstrates an assumption that any gender identity is inherently preferable to any other, and which attempts to bring about a change of gender </w:t>
            </w:r>
            <w:proofErr w:type="gramStart"/>
            <w:r w:rsidRPr="00EF46B3">
              <w:rPr>
                <w:rFonts w:cs="Arial"/>
                <w:szCs w:val="24"/>
              </w:rPr>
              <w:t>identity, or</w:t>
            </w:r>
            <w:proofErr w:type="gramEnd"/>
            <w:r w:rsidRPr="00EF46B3">
              <w:rPr>
                <w:rFonts w:cs="Arial"/>
                <w:szCs w:val="24"/>
              </w:rPr>
              <w:t xml:space="preserve"> seeks to supress an individual’s expression of gender identity on that basis</w:t>
            </w:r>
            <w:r w:rsidR="006C37A3">
              <w:rPr>
                <w:rStyle w:val="FootnoteReference"/>
                <w:rFonts w:cs="Arial"/>
                <w:szCs w:val="24"/>
              </w:rPr>
              <w:footnoteReference w:id="3"/>
            </w:r>
            <w:r w:rsidRPr="00EF46B3">
              <w:rPr>
                <w:rFonts w:cs="Arial"/>
                <w:szCs w:val="24"/>
              </w:rPr>
              <w:t>.</w:t>
            </w:r>
          </w:p>
          <w:p w14:paraId="504E497B" w14:textId="77777777" w:rsidR="004B6921" w:rsidRPr="00EF46B3" w:rsidRDefault="004B6921" w:rsidP="009D579A">
            <w:pPr>
              <w:pStyle w:val="ListParagraph"/>
              <w:spacing w:after="120"/>
              <w:ind w:left="360"/>
              <w:rPr>
                <w:rFonts w:cs="Arial"/>
                <w:szCs w:val="24"/>
              </w:rPr>
            </w:pPr>
          </w:p>
          <w:p w14:paraId="74A0AC2B" w14:textId="7391B481" w:rsidR="0045504F" w:rsidRPr="004B6921" w:rsidRDefault="00D43CF3" w:rsidP="009D579A">
            <w:pPr>
              <w:pStyle w:val="ListParagraph"/>
              <w:numPr>
                <w:ilvl w:val="0"/>
                <w:numId w:val="16"/>
              </w:numPr>
              <w:spacing w:after="120"/>
              <w:rPr>
                <w:rFonts w:cs="Arial"/>
                <w:szCs w:val="24"/>
              </w:rPr>
            </w:pPr>
            <w:r w:rsidRPr="009D579A">
              <w:rPr>
                <w:rFonts w:cs="Arial"/>
                <w:b/>
                <w:i/>
                <w:szCs w:val="24"/>
              </w:rPr>
              <w:t>Assessment for</w:t>
            </w:r>
            <w:r w:rsidR="009B651E" w:rsidRPr="009D579A">
              <w:rPr>
                <w:rFonts w:cs="Arial"/>
                <w:b/>
                <w:i/>
                <w:szCs w:val="24"/>
              </w:rPr>
              <w:t xml:space="preserve"> endocrine and other pharmacological interventions</w:t>
            </w:r>
          </w:p>
          <w:p w14:paraId="572E7FF5" w14:textId="6D860AA7" w:rsidR="0045504F" w:rsidRPr="00EF46B3" w:rsidRDefault="00DA7922" w:rsidP="00EF46B3">
            <w:pPr>
              <w:pStyle w:val="ListParagraph"/>
              <w:numPr>
                <w:ilvl w:val="0"/>
                <w:numId w:val="36"/>
              </w:numPr>
              <w:spacing w:after="120"/>
              <w:rPr>
                <w:rFonts w:cs="Arial"/>
                <w:szCs w:val="24"/>
              </w:rPr>
            </w:pPr>
            <w:r w:rsidRPr="00EF46B3">
              <w:rPr>
                <w:rFonts w:cs="Arial"/>
                <w:szCs w:val="24"/>
              </w:rPr>
              <w:t>T</w:t>
            </w:r>
            <w:r w:rsidR="0045504F" w:rsidRPr="00EF46B3">
              <w:rPr>
                <w:rFonts w:cs="Arial"/>
                <w:szCs w:val="24"/>
              </w:rPr>
              <w:t xml:space="preserve">he </w:t>
            </w:r>
            <w:r w:rsidRPr="00EF46B3">
              <w:rPr>
                <w:rFonts w:cs="Arial"/>
                <w:szCs w:val="24"/>
              </w:rPr>
              <w:t xml:space="preserve">Provider will </w:t>
            </w:r>
            <w:r w:rsidR="0045504F" w:rsidRPr="00EF46B3">
              <w:rPr>
                <w:rFonts w:cs="Arial"/>
                <w:szCs w:val="24"/>
              </w:rPr>
              <w:t>assess an individual’s suitability for hormone treatment</w:t>
            </w:r>
            <w:r w:rsidRPr="00EF46B3">
              <w:rPr>
                <w:rFonts w:cs="Arial"/>
                <w:szCs w:val="24"/>
              </w:rPr>
              <w:t>s</w:t>
            </w:r>
            <w:r w:rsidR="0045504F" w:rsidRPr="00EF46B3">
              <w:rPr>
                <w:rFonts w:cs="Arial"/>
                <w:szCs w:val="24"/>
              </w:rPr>
              <w:t xml:space="preserve"> </w:t>
            </w:r>
            <w:r w:rsidRPr="00EF46B3">
              <w:rPr>
                <w:rFonts w:cs="Arial"/>
                <w:szCs w:val="24"/>
              </w:rPr>
              <w:t xml:space="preserve">for the alleviation of </w:t>
            </w:r>
            <w:r w:rsidR="0045504F" w:rsidRPr="00EF46B3">
              <w:rPr>
                <w:rFonts w:cs="Arial"/>
                <w:szCs w:val="24"/>
              </w:rPr>
              <w:t>gender dysphoria</w:t>
            </w:r>
            <w:r w:rsidRPr="00EF46B3">
              <w:rPr>
                <w:rFonts w:cs="Arial"/>
                <w:szCs w:val="24"/>
              </w:rPr>
              <w:t>.</w:t>
            </w:r>
            <w:r w:rsidR="0045504F" w:rsidRPr="00EF46B3">
              <w:rPr>
                <w:rFonts w:cs="Arial"/>
                <w:szCs w:val="24"/>
              </w:rPr>
              <w:t xml:space="preserve"> </w:t>
            </w:r>
            <w:r w:rsidR="0045504F" w:rsidRPr="00EF46B3">
              <w:rPr>
                <w:rFonts w:cs="Arial"/>
                <w:szCs w:val="24"/>
                <w:u w:val="single"/>
              </w:rPr>
              <w:t>Appendix J</w:t>
            </w:r>
            <w:r w:rsidR="0045504F" w:rsidRPr="00EF46B3">
              <w:rPr>
                <w:rFonts w:cs="Arial"/>
                <w:szCs w:val="24"/>
              </w:rPr>
              <w:t xml:space="preserve"> of this document describes arrangements for prescribing</w:t>
            </w:r>
            <w:r w:rsidR="00F14EA8" w:rsidRPr="00EF46B3">
              <w:rPr>
                <w:rFonts w:cs="Arial"/>
                <w:szCs w:val="24"/>
              </w:rPr>
              <w:t xml:space="preserve"> and monitoring of endocrine treatments.</w:t>
            </w:r>
          </w:p>
          <w:p w14:paraId="2DEFABAD" w14:textId="77777777" w:rsidR="00CA5419" w:rsidRDefault="00541415" w:rsidP="00EF46B3">
            <w:pPr>
              <w:spacing w:after="120"/>
              <w:rPr>
                <w:rFonts w:cs="Arial"/>
                <w:b/>
                <w:szCs w:val="24"/>
              </w:rPr>
            </w:pPr>
            <w:r>
              <w:rPr>
                <w:rFonts w:cs="Arial"/>
                <w:b/>
                <w:szCs w:val="24"/>
              </w:rPr>
              <w:t>I</w:t>
            </w:r>
            <w:r w:rsidR="009B651E" w:rsidRPr="00CB26F8">
              <w:rPr>
                <w:rFonts w:cs="Arial"/>
                <w:b/>
                <w:szCs w:val="24"/>
              </w:rPr>
              <w:t>nterventions</w:t>
            </w:r>
            <w:r>
              <w:rPr>
                <w:rFonts w:cs="Arial"/>
                <w:b/>
                <w:szCs w:val="24"/>
              </w:rPr>
              <w:t xml:space="preserve"> </w:t>
            </w:r>
            <w:r w:rsidR="009B651E" w:rsidRPr="00CB26F8">
              <w:rPr>
                <w:rFonts w:cs="Arial"/>
                <w:b/>
                <w:szCs w:val="24"/>
              </w:rPr>
              <w:t>delivered by other providers</w:t>
            </w:r>
          </w:p>
          <w:p w14:paraId="5E99E53C" w14:textId="3914315C" w:rsidR="00C246E6" w:rsidRPr="00EF46B3" w:rsidRDefault="00C166C5" w:rsidP="00EF46B3">
            <w:pPr>
              <w:pStyle w:val="ListParagraph"/>
              <w:numPr>
                <w:ilvl w:val="0"/>
                <w:numId w:val="36"/>
              </w:numPr>
              <w:spacing w:after="120"/>
              <w:rPr>
                <w:rFonts w:cs="Arial"/>
                <w:szCs w:val="24"/>
              </w:rPr>
            </w:pPr>
            <w:r w:rsidRPr="00EF46B3">
              <w:rPr>
                <w:rFonts w:cs="Arial"/>
                <w:szCs w:val="24"/>
              </w:rPr>
              <w:t>The Provider may refer the individual for other interventions delivered by other providers should the intervention be routinely commissioned by</w:t>
            </w:r>
            <w:r w:rsidR="00777F5F" w:rsidRPr="00EF46B3">
              <w:rPr>
                <w:rFonts w:cs="Arial"/>
                <w:szCs w:val="24"/>
              </w:rPr>
              <w:t xml:space="preserve"> the</w:t>
            </w:r>
            <w:r w:rsidR="00B74AF7" w:rsidRPr="00EF46B3">
              <w:rPr>
                <w:rFonts w:cs="Arial"/>
                <w:szCs w:val="24"/>
              </w:rPr>
              <w:t xml:space="preserve"> NHS.</w:t>
            </w:r>
          </w:p>
          <w:p w14:paraId="59980C14" w14:textId="77777777" w:rsidR="00EF46B3" w:rsidRPr="00EF46B3" w:rsidRDefault="00EF46B3" w:rsidP="00EF46B3">
            <w:pPr>
              <w:pStyle w:val="ListParagraph"/>
              <w:spacing w:after="120"/>
              <w:ind w:left="360"/>
              <w:rPr>
                <w:rFonts w:cs="Arial"/>
                <w:szCs w:val="24"/>
              </w:rPr>
            </w:pPr>
          </w:p>
          <w:p w14:paraId="50FC2362" w14:textId="74F234E2" w:rsidR="00CA5419" w:rsidRPr="00CB26F8" w:rsidRDefault="009B651E" w:rsidP="00C246E6">
            <w:pPr>
              <w:spacing w:after="120"/>
              <w:rPr>
                <w:rFonts w:cs="Arial"/>
                <w:b/>
                <w:szCs w:val="24"/>
              </w:rPr>
            </w:pPr>
            <w:r w:rsidRPr="00C246E6">
              <w:rPr>
                <w:rFonts w:cs="Arial"/>
                <w:b/>
                <w:szCs w:val="24"/>
              </w:rPr>
              <w:t>Surgery for the treatment of gender dysphoria</w:t>
            </w:r>
          </w:p>
          <w:p w14:paraId="12E051BA" w14:textId="77777777" w:rsidR="00EF46B3" w:rsidRPr="00EF46B3" w:rsidRDefault="009B651E" w:rsidP="00EF46B3">
            <w:pPr>
              <w:pStyle w:val="ListParagraph"/>
              <w:numPr>
                <w:ilvl w:val="0"/>
                <w:numId w:val="36"/>
              </w:numPr>
              <w:spacing w:after="120"/>
              <w:rPr>
                <w:rFonts w:cs="Arial"/>
                <w:b/>
                <w:szCs w:val="24"/>
              </w:rPr>
            </w:pPr>
            <w:r w:rsidRPr="00EF46B3">
              <w:rPr>
                <w:rFonts w:cs="Arial"/>
                <w:szCs w:val="24"/>
              </w:rPr>
              <w:t xml:space="preserve">This section should be read in conjunction with NHS England’s service specification for </w:t>
            </w:r>
            <w:r w:rsidR="00C246E6" w:rsidRPr="00EF46B3">
              <w:rPr>
                <w:rFonts w:cs="Arial"/>
                <w:szCs w:val="24"/>
              </w:rPr>
              <w:t>“</w:t>
            </w:r>
            <w:r w:rsidRPr="00EF46B3">
              <w:rPr>
                <w:rFonts w:cs="Arial"/>
                <w:i/>
                <w:szCs w:val="24"/>
              </w:rPr>
              <w:t xml:space="preserve">Gender </w:t>
            </w:r>
            <w:r w:rsidR="00D43CF3" w:rsidRPr="00EF46B3">
              <w:rPr>
                <w:rFonts w:cs="Arial"/>
                <w:i/>
                <w:szCs w:val="24"/>
              </w:rPr>
              <w:t xml:space="preserve">Identity </w:t>
            </w:r>
            <w:r w:rsidRPr="00EF46B3">
              <w:rPr>
                <w:rFonts w:cs="Arial"/>
                <w:i/>
                <w:szCs w:val="24"/>
              </w:rPr>
              <w:t>Services (Surgical</w:t>
            </w:r>
            <w:r w:rsidR="000812F5" w:rsidRPr="00EF46B3">
              <w:rPr>
                <w:rFonts w:cs="Arial"/>
                <w:i/>
                <w:szCs w:val="24"/>
              </w:rPr>
              <w:t xml:space="preserve"> Interventions</w:t>
            </w:r>
            <w:r w:rsidRPr="00EF46B3">
              <w:rPr>
                <w:rFonts w:cs="Arial"/>
                <w:i/>
                <w:szCs w:val="24"/>
              </w:rPr>
              <w:t>)</w:t>
            </w:r>
            <w:r w:rsidR="00C246E6" w:rsidRPr="00EF46B3">
              <w:rPr>
                <w:rFonts w:cs="Arial"/>
                <w:i/>
                <w:szCs w:val="24"/>
              </w:rPr>
              <w:t>”</w:t>
            </w:r>
            <w:r w:rsidRPr="00EF46B3">
              <w:rPr>
                <w:rFonts w:cs="Arial"/>
                <w:szCs w:val="24"/>
              </w:rPr>
              <w:t xml:space="preserve"> which describes the specialist surgical procedures that are commissioned by NHS England for the treatment of gender dysphoria</w:t>
            </w:r>
            <w:r w:rsidR="006C37A3" w:rsidRPr="00EF46B3">
              <w:rPr>
                <w:rFonts w:cs="Arial"/>
                <w:szCs w:val="24"/>
              </w:rPr>
              <w:t>.</w:t>
            </w:r>
            <w:r w:rsidR="00EF46B3">
              <w:rPr>
                <w:rFonts w:cs="Arial"/>
                <w:szCs w:val="24"/>
              </w:rPr>
              <w:t xml:space="preserve"> </w:t>
            </w:r>
          </w:p>
          <w:p w14:paraId="5D8A4702" w14:textId="77777777" w:rsidR="00EF46B3" w:rsidRPr="00EF46B3" w:rsidRDefault="00EF46B3" w:rsidP="00EF46B3">
            <w:pPr>
              <w:pStyle w:val="ListParagraph"/>
              <w:spacing w:after="120"/>
              <w:ind w:left="360"/>
              <w:rPr>
                <w:rFonts w:cs="Arial"/>
                <w:b/>
                <w:szCs w:val="24"/>
              </w:rPr>
            </w:pPr>
          </w:p>
          <w:p w14:paraId="28A1BACF" w14:textId="77777777" w:rsidR="00EF46B3" w:rsidRPr="00EF46B3" w:rsidRDefault="009B651E" w:rsidP="00EF46B3">
            <w:pPr>
              <w:pStyle w:val="ListParagraph"/>
              <w:numPr>
                <w:ilvl w:val="0"/>
                <w:numId w:val="36"/>
              </w:numPr>
              <w:spacing w:after="120"/>
              <w:rPr>
                <w:rFonts w:cs="Arial"/>
                <w:b/>
                <w:szCs w:val="24"/>
              </w:rPr>
            </w:pPr>
            <w:r w:rsidRPr="00EF46B3">
              <w:rPr>
                <w:rFonts w:cs="Arial"/>
                <w:szCs w:val="24"/>
              </w:rPr>
              <w:t xml:space="preserve">The </w:t>
            </w:r>
            <w:r w:rsidR="00C166C5" w:rsidRPr="00EF46B3">
              <w:rPr>
                <w:rFonts w:cs="Arial"/>
                <w:szCs w:val="24"/>
              </w:rPr>
              <w:t>Provider may refer an individual for a surgical intervention that is commissioned by NHS England as a prescribed specialised intervention.</w:t>
            </w:r>
            <w:r w:rsidR="00EF46B3">
              <w:rPr>
                <w:rFonts w:cs="Arial"/>
                <w:szCs w:val="24"/>
              </w:rPr>
              <w:t xml:space="preserve"> </w:t>
            </w:r>
            <w:r w:rsidRPr="00EF46B3">
              <w:rPr>
                <w:rFonts w:cs="Arial"/>
                <w:szCs w:val="24"/>
              </w:rPr>
              <w:t>Before a referral for surger</w:t>
            </w:r>
            <w:r w:rsidR="004363D8" w:rsidRPr="00EF46B3">
              <w:rPr>
                <w:rFonts w:cs="Arial"/>
                <w:szCs w:val="24"/>
              </w:rPr>
              <w:t>y is made, the Lead Clinician</w:t>
            </w:r>
            <w:r w:rsidRPr="00EF46B3">
              <w:rPr>
                <w:rFonts w:cs="Arial"/>
                <w:szCs w:val="24"/>
              </w:rPr>
              <w:t xml:space="preserve"> will meet with the individual to review current treatment interventions, and to assess the individual’s needs and readiness for the surgical intervention. The processes of shared decision making and of obtaining consent (as described earlier in this document) will provide the </w:t>
            </w:r>
            <w:r w:rsidR="00C3417C" w:rsidRPr="00EF46B3">
              <w:rPr>
                <w:rFonts w:cs="Arial"/>
                <w:szCs w:val="24"/>
              </w:rPr>
              <w:t xml:space="preserve">individual </w:t>
            </w:r>
            <w:r w:rsidRPr="00EF46B3">
              <w:rPr>
                <w:rFonts w:cs="Arial"/>
                <w:szCs w:val="24"/>
              </w:rPr>
              <w:t xml:space="preserve">with necessary </w:t>
            </w:r>
            <w:proofErr w:type="gramStart"/>
            <w:r w:rsidRPr="00EF46B3">
              <w:rPr>
                <w:rFonts w:cs="Arial"/>
                <w:szCs w:val="24"/>
              </w:rPr>
              <w:t>information, and</w:t>
            </w:r>
            <w:proofErr w:type="gramEnd"/>
            <w:r w:rsidRPr="00EF46B3">
              <w:rPr>
                <w:rFonts w:cs="Arial"/>
                <w:szCs w:val="24"/>
              </w:rPr>
              <w:t xml:space="preserve"> will allow the individual sufficient time to ask questions, and to reflect on the</w:t>
            </w:r>
            <w:r w:rsidR="004363D8" w:rsidRPr="00EF46B3">
              <w:rPr>
                <w:rFonts w:cs="Arial"/>
                <w:szCs w:val="24"/>
              </w:rPr>
              <w:t xml:space="preserve"> advice of the Lead Clinician</w:t>
            </w:r>
            <w:r w:rsidRPr="00EF46B3">
              <w:rPr>
                <w:rFonts w:cs="Arial"/>
                <w:szCs w:val="24"/>
              </w:rPr>
              <w:t xml:space="preserve"> to enable an informed decision on the treatment options, risks and benefits. The possibility of the need for donor site skin epilation for some patients, and the likely implications for the timing of surgery, should be explained to the individual at this stage.</w:t>
            </w:r>
          </w:p>
          <w:p w14:paraId="5F887023" w14:textId="77777777" w:rsidR="00EF46B3" w:rsidRPr="00EF46B3" w:rsidRDefault="00EF46B3" w:rsidP="00EF46B3">
            <w:pPr>
              <w:pStyle w:val="ListParagraph"/>
              <w:rPr>
                <w:rFonts w:cs="Arial"/>
                <w:szCs w:val="24"/>
              </w:rPr>
            </w:pPr>
          </w:p>
          <w:p w14:paraId="6BC0FF2C" w14:textId="77777777" w:rsidR="00EF46B3" w:rsidRPr="00EF46B3" w:rsidRDefault="000F0084" w:rsidP="00EF46B3">
            <w:pPr>
              <w:pStyle w:val="ListParagraph"/>
              <w:numPr>
                <w:ilvl w:val="0"/>
                <w:numId w:val="36"/>
              </w:numPr>
              <w:spacing w:after="120"/>
              <w:rPr>
                <w:rFonts w:cs="Arial"/>
                <w:b/>
                <w:szCs w:val="24"/>
              </w:rPr>
            </w:pPr>
            <w:r w:rsidRPr="00EF46B3">
              <w:rPr>
                <w:rFonts w:cs="Arial"/>
                <w:szCs w:val="24"/>
              </w:rPr>
              <w:t>A referral for mastectomy and reconstruction of the chest requires one letter of referral from a Lead Clinician.</w:t>
            </w:r>
          </w:p>
          <w:p w14:paraId="660A32F1" w14:textId="77777777" w:rsidR="00EF46B3" w:rsidRPr="00EF46B3" w:rsidRDefault="00EF46B3" w:rsidP="00EF46B3">
            <w:pPr>
              <w:pStyle w:val="ListParagraph"/>
              <w:rPr>
                <w:rFonts w:cs="Arial"/>
                <w:szCs w:val="24"/>
              </w:rPr>
            </w:pPr>
          </w:p>
          <w:p w14:paraId="01F9C94B" w14:textId="500F085F" w:rsidR="000F0084" w:rsidRPr="00EF46B3" w:rsidRDefault="00907985" w:rsidP="00EF46B3">
            <w:pPr>
              <w:pStyle w:val="ListParagraph"/>
              <w:numPr>
                <w:ilvl w:val="0"/>
                <w:numId w:val="36"/>
              </w:numPr>
              <w:spacing w:after="120"/>
              <w:rPr>
                <w:rFonts w:cs="Arial"/>
                <w:b/>
                <w:szCs w:val="24"/>
              </w:rPr>
            </w:pPr>
            <w:r w:rsidRPr="00EF46B3">
              <w:rPr>
                <w:rFonts w:cs="Arial"/>
                <w:szCs w:val="24"/>
              </w:rPr>
              <w:t xml:space="preserve">Subject to the bullet point below, a </w:t>
            </w:r>
            <w:r w:rsidR="000F0084" w:rsidRPr="00EF46B3">
              <w:rPr>
                <w:rFonts w:cs="Arial"/>
                <w:szCs w:val="24"/>
              </w:rPr>
              <w:t xml:space="preserve">referral for genital surgery requires two letters of referral: one from a Lead Clinician, the other from a </w:t>
            </w:r>
            <w:proofErr w:type="gramStart"/>
            <w:r w:rsidR="000F0084" w:rsidRPr="00EF46B3">
              <w:rPr>
                <w:rFonts w:cs="Arial"/>
                <w:szCs w:val="24"/>
              </w:rPr>
              <w:t>similarly-qualified</w:t>
            </w:r>
            <w:proofErr w:type="gramEnd"/>
            <w:r w:rsidR="000F0084" w:rsidRPr="00EF46B3">
              <w:rPr>
                <w:rFonts w:cs="Arial"/>
                <w:szCs w:val="24"/>
              </w:rPr>
              <w:t xml:space="preserve"> and experienced professional not directly involved in the individual’s care and able to form an independent opinion; at least one letter of referral must be from a Registered Medical Practitioner with expertise in gender dysphoria.</w:t>
            </w:r>
            <w:r w:rsidR="000F0084" w:rsidRPr="00EF46B3">
              <w:rPr>
                <w:rFonts w:cs="Arial"/>
                <w:b/>
                <w:szCs w:val="24"/>
              </w:rPr>
              <w:t xml:space="preserve"> </w:t>
            </w:r>
            <w:r w:rsidR="000F0084" w:rsidRPr="00EF46B3">
              <w:rPr>
                <w:rFonts w:cs="Arial"/>
                <w:szCs w:val="24"/>
              </w:rPr>
              <w:t>The letters of referral fo</w:t>
            </w:r>
            <w:r w:rsidR="00C246E6" w:rsidRPr="00EF46B3">
              <w:rPr>
                <w:rFonts w:cs="Arial"/>
                <w:szCs w:val="24"/>
              </w:rPr>
              <w:t>r genital surgery will confirm:</w:t>
            </w:r>
          </w:p>
          <w:p w14:paraId="44CD05D6" w14:textId="77777777" w:rsidR="00EF46B3" w:rsidRPr="00EF46B3" w:rsidRDefault="00EF46B3" w:rsidP="00EF46B3">
            <w:pPr>
              <w:pStyle w:val="ListParagraph"/>
              <w:ind w:left="907"/>
              <w:rPr>
                <w:rFonts w:cs="Arial"/>
                <w:b/>
                <w:szCs w:val="24"/>
              </w:rPr>
            </w:pPr>
          </w:p>
          <w:p w14:paraId="2F4ADFF1" w14:textId="77777777" w:rsidR="00EF46B3" w:rsidRDefault="00605AC7" w:rsidP="00EF46B3">
            <w:pPr>
              <w:pStyle w:val="ListParagraph"/>
              <w:numPr>
                <w:ilvl w:val="0"/>
                <w:numId w:val="36"/>
              </w:numPr>
              <w:spacing w:after="120"/>
              <w:rPr>
                <w:rFonts w:cs="Arial"/>
                <w:szCs w:val="24"/>
              </w:rPr>
            </w:pPr>
            <w:r w:rsidRPr="00EF46B3">
              <w:rPr>
                <w:rFonts w:cs="Arial"/>
                <w:szCs w:val="24"/>
              </w:rPr>
              <w:t xml:space="preserve">Evidence of </w:t>
            </w:r>
            <w:r w:rsidR="009B651E" w:rsidRPr="00EF46B3">
              <w:rPr>
                <w:rFonts w:cs="Arial"/>
                <w:szCs w:val="24"/>
              </w:rPr>
              <w:t>12 continuous months of hormone therapy as appropriate to the individual’s gender goals (unless the individual has a medical contraindication or is otherwise unabl</w:t>
            </w:r>
            <w:r w:rsidR="000812F5" w:rsidRPr="00EF46B3">
              <w:rPr>
                <w:rFonts w:cs="Arial"/>
                <w:szCs w:val="24"/>
              </w:rPr>
              <w:t>e or unwilling to take hormones)</w:t>
            </w:r>
          </w:p>
          <w:p w14:paraId="667DEF00" w14:textId="77777777" w:rsidR="00EF46B3" w:rsidRPr="00EF46B3" w:rsidRDefault="00EF46B3" w:rsidP="00EF46B3">
            <w:pPr>
              <w:pStyle w:val="ListParagraph"/>
              <w:rPr>
                <w:rFonts w:cs="Arial"/>
                <w:szCs w:val="24"/>
              </w:rPr>
            </w:pPr>
          </w:p>
          <w:p w14:paraId="051E3F3E" w14:textId="77777777" w:rsidR="00EF46B3" w:rsidRDefault="00605AC7" w:rsidP="00EF46B3">
            <w:pPr>
              <w:pStyle w:val="ListParagraph"/>
              <w:numPr>
                <w:ilvl w:val="0"/>
                <w:numId w:val="36"/>
              </w:numPr>
              <w:spacing w:after="120"/>
              <w:rPr>
                <w:rFonts w:cs="Arial"/>
                <w:szCs w:val="24"/>
              </w:rPr>
            </w:pPr>
            <w:r w:rsidRPr="00EF46B3">
              <w:rPr>
                <w:rFonts w:cs="Arial"/>
                <w:szCs w:val="24"/>
              </w:rPr>
              <w:t xml:space="preserve">Evidence of </w:t>
            </w:r>
            <w:r w:rsidR="009B651E" w:rsidRPr="00EF46B3">
              <w:rPr>
                <w:rFonts w:cs="Arial"/>
                <w:szCs w:val="24"/>
              </w:rPr>
              <w:t xml:space="preserve">12 continuous months of living in a gender role that is congruent with their gender identity; this must not entail a requirement for the individual to conform to externally imposed or arbitrary preconceptions about gender identity and presentation; this requirement is not about qualifying for surgery, but rather preparing and supporting the individual to cope with the profound </w:t>
            </w:r>
            <w:r w:rsidR="000B40B6" w:rsidRPr="00EF46B3">
              <w:rPr>
                <w:rFonts w:cs="Arial"/>
                <w:szCs w:val="24"/>
              </w:rPr>
              <w:t xml:space="preserve">personal and social </w:t>
            </w:r>
            <w:r w:rsidR="009B651E" w:rsidRPr="00EF46B3">
              <w:rPr>
                <w:rFonts w:cs="Arial"/>
                <w:szCs w:val="24"/>
              </w:rPr>
              <w:t>consequences of surgery</w:t>
            </w:r>
            <w:r w:rsidR="000B40B6" w:rsidRPr="00EF46B3">
              <w:rPr>
                <w:rFonts w:cs="Arial"/>
                <w:szCs w:val="24"/>
              </w:rPr>
              <w:t>.</w:t>
            </w:r>
            <w:r w:rsidR="00541415" w:rsidRPr="00EF46B3">
              <w:rPr>
                <w:rFonts w:cs="Arial"/>
                <w:szCs w:val="24"/>
              </w:rPr>
              <w:t xml:space="preserve"> </w:t>
            </w:r>
            <w:r w:rsidR="000B40B6" w:rsidRPr="00EF46B3">
              <w:rPr>
                <w:rFonts w:cs="Arial"/>
                <w:szCs w:val="24"/>
              </w:rPr>
              <w:t>W</w:t>
            </w:r>
            <w:r w:rsidR="009B651E" w:rsidRPr="00EF46B3">
              <w:rPr>
                <w:rFonts w:cs="Arial"/>
                <w:szCs w:val="24"/>
              </w:rPr>
              <w:t xml:space="preserve">here individuals can demonstrate that they have been living in their gender role before the referral to the Provider, this will be </w:t>
            </w:r>
            <w:proofErr w:type="gramStart"/>
            <w:r w:rsidR="009B651E" w:rsidRPr="00EF46B3">
              <w:rPr>
                <w:rFonts w:cs="Arial"/>
                <w:szCs w:val="24"/>
              </w:rPr>
              <w:t>taken into account</w:t>
            </w:r>
            <w:proofErr w:type="gramEnd"/>
          </w:p>
          <w:p w14:paraId="746CE8F0" w14:textId="77777777" w:rsidR="00EF46B3" w:rsidRPr="00EF46B3" w:rsidRDefault="00EF46B3" w:rsidP="00EF46B3">
            <w:pPr>
              <w:pStyle w:val="ListParagraph"/>
              <w:rPr>
                <w:rFonts w:cs="Arial"/>
                <w:bCs w:val="0"/>
                <w:szCs w:val="24"/>
              </w:rPr>
            </w:pPr>
          </w:p>
          <w:p w14:paraId="7F1252D2" w14:textId="77777777" w:rsidR="00EF46B3" w:rsidRPr="00EF46B3" w:rsidRDefault="00907985" w:rsidP="00EF46B3">
            <w:pPr>
              <w:pStyle w:val="ListParagraph"/>
              <w:numPr>
                <w:ilvl w:val="0"/>
                <w:numId w:val="36"/>
              </w:numPr>
              <w:spacing w:after="120"/>
              <w:rPr>
                <w:rFonts w:cs="Arial"/>
                <w:szCs w:val="24"/>
              </w:rPr>
            </w:pPr>
            <w:r w:rsidRPr="00EF46B3">
              <w:rPr>
                <w:rFonts w:cs="Arial"/>
                <w:bCs w:val="0"/>
                <w:szCs w:val="24"/>
              </w:rPr>
              <w:t xml:space="preserve">If an individual has been granted a Gender Recognition Certificate (GRC), as an outcome of the process described in the Gender Recognition Act 2004 they will have had a diagnosis of gender dysphoria; and will, at the time their GRC was granted, have lived fully for the previous two years in their acquired gender and continued to do so; and they will have intended to live permanently in their acquired gender. This information is confirmed in a written report of a medical practitioner (with a licence to practise) or psychologist on the List of Specialists in the Field of Gender Dysphoria maintained by HM Courts and Tribunal Service. Such individuals are eligible </w:t>
            </w:r>
            <w:r w:rsidR="004E4AB5" w:rsidRPr="00EF46B3">
              <w:rPr>
                <w:rFonts w:cs="Arial"/>
                <w:bCs w:val="0"/>
                <w:szCs w:val="24"/>
              </w:rPr>
              <w:t>for a referral for</w:t>
            </w:r>
            <w:r w:rsidRPr="00EF46B3">
              <w:rPr>
                <w:rFonts w:cs="Arial"/>
                <w:bCs w:val="0"/>
                <w:szCs w:val="24"/>
              </w:rPr>
              <w:t xml:space="preserve"> genital surgery subject to a single opinion from a Registered Medical Practitioner who has knowledge of the individual’s care plan, and </w:t>
            </w:r>
            <w:proofErr w:type="gramStart"/>
            <w:r w:rsidRPr="00EF46B3">
              <w:rPr>
                <w:rFonts w:cs="Arial"/>
                <w:bCs w:val="0"/>
                <w:szCs w:val="24"/>
              </w:rPr>
              <w:t>on the basis of</w:t>
            </w:r>
            <w:proofErr w:type="gramEnd"/>
            <w:r w:rsidRPr="00EF46B3">
              <w:rPr>
                <w:rFonts w:cs="Arial"/>
                <w:bCs w:val="0"/>
                <w:szCs w:val="24"/>
              </w:rPr>
              <w:t xml:space="preserve"> informed consent</w:t>
            </w:r>
            <w:r>
              <w:rPr>
                <w:rStyle w:val="FootnoteReference"/>
                <w:rFonts w:cs="Arial"/>
                <w:bCs w:val="0"/>
                <w:szCs w:val="24"/>
              </w:rPr>
              <w:footnoteReference w:id="4"/>
            </w:r>
            <w:r w:rsidRPr="00EF46B3">
              <w:rPr>
                <w:rFonts w:cs="Arial"/>
                <w:bCs w:val="0"/>
                <w:szCs w:val="24"/>
              </w:rPr>
              <w:t>.</w:t>
            </w:r>
          </w:p>
          <w:p w14:paraId="7D004662" w14:textId="77777777" w:rsidR="00EF46B3" w:rsidRPr="00EF46B3" w:rsidRDefault="00EF46B3" w:rsidP="00EF46B3">
            <w:pPr>
              <w:pStyle w:val="ListParagraph"/>
              <w:rPr>
                <w:rFonts w:cs="Arial"/>
                <w:szCs w:val="24"/>
              </w:rPr>
            </w:pPr>
          </w:p>
          <w:p w14:paraId="7DB072AA" w14:textId="198ADB78" w:rsidR="00180871" w:rsidRPr="00EF46B3" w:rsidRDefault="000812F5" w:rsidP="00EF46B3">
            <w:pPr>
              <w:pStyle w:val="ListParagraph"/>
              <w:numPr>
                <w:ilvl w:val="0"/>
                <w:numId w:val="36"/>
              </w:numPr>
              <w:spacing w:after="120"/>
              <w:rPr>
                <w:rFonts w:cs="Arial"/>
                <w:szCs w:val="24"/>
              </w:rPr>
            </w:pPr>
            <w:r w:rsidRPr="00EF46B3">
              <w:rPr>
                <w:rFonts w:cs="Arial"/>
                <w:szCs w:val="24"/>
              </w:rPr>
              <w:t>Hysterectomy (removal of uterus)</w:t>
            </w:r>
            <w:r w:rsidR="000B40B6" w:rsidRPr="00EF46B3">
              <w:rPr>
                <w:rFonts w:cs="Arial"/>
                <w:szCs w:val="24"/>
              </w:rPr>
              <w:t>,</w:t>
            </w:r>
            <w:r w:rsidR="005D7E08" w:rsidRPr="00EF46B3">
              <w:rPr>
                <w:rFonts w:cs="Arial"/>
                <w:szCs w:val="24"/>
              </w:rPr>
              <w:t xml:space="preserve"> </w:t>
            </w:r>
            <w:r w:rsidRPr="00EF46B3">
              <w:rPr>
                <w:rFonts w:cs="Arial"/>
                <w:szCs w:val="24"/>
              </w:rPr>
              <w:t xml:space="preserve">bilateral </w:t>
            </w:r>
            <w:proofErr w:type="spellStart"/>
            <w:r w:rsidRPr="00EF46B3">
              <w:rPr>
                <w:rFonts w:cs="Arial"/>
                <w:szCs w:val="24"/>
              </w:rPr>
              <w:t>salpingo</w:t>
            </w:r>
            <w:proofErr w:type="spellEnd"/>
            <w:r w:rsidRPr="00EF46B3">
              <w:rPr>
                <w:rFonts w:cs="Arial"/>
                <w:szCs w:val="24"/>
              </w:rPr>
              <w:t>-oophorectomy (removal of ovaries and fallopian tubes)</w:t>
            </w:r>
            <w:r w:rsidR="00A73BE2" w:rsidRPr="00EF46B3">
              <w:rPr>
                <w:rFonts w:cs="Arial"/>
                <w:szCs w:val="24"/>
              </w:rPr>
              <w:t>,</w:t>
            </w:r>
            <w:r w:rsidR="00C246E6" w:rsidRPr="00EF46B3">
              <w:rPr>
                <w:rFonts w:cs="Arial"/>
                <w:szCs w:val="24"/>
              </w:rPr>
              <w:t xml:space="preserve"> </w:t>
            </w:r>
            <w:r w:rsidR="000B40B6" w:rsidRPr="00EF46B3">
              <w:rPr>
                <w:rFonts w:cs="Arial"/>
                <w:szCs w:val="24"/>
              </w:rPr>
              <w:t xml:space="preserve">penectomy (removal of penis) </w:t>
            </w:r>
            <w:r w:rsidR="00A73BE2" w:rsidRPr="00EF46B3">
              <w:rPr>
                <w:rFonts w:cs="Arial"/>
                <w:szCs w:val="24"/>
              </w:rPr>
              <w:t xml:space="preserve">and orchidectomy (removal of testes) </w:t>
            </w:r>
            <w:r w:rsidRPr="00EF46B3">
              <w:rPr>
                <w:rFonts w:cs="Arial"/>
                <w:szCs w:val="24"/>
              </w:rPr>
              <w:t>are interventions commissioned under this service specification when they are performed</w:t>
            </w:r>
            <w:r w:rsidR="00E1125F">
              <w:t xml:space="preserve"> </w:t>
            </w:r>
            <w:r w:rsidR="00E1125F" w:rsidRPr="00EF46B3">
              <w:rPr>
                <w:rFonts w:cs="Arial"/>
                <w:szCs w:val="24"/>
              </w:rPr>
              <w:t>in conjunction with the above pathways</w:t>
            </w:r>
            <w:r w:rsidRPr="00EF46B3">
              <w:rPr>
                <w:rFonts w:cs="Arial"/>
                <w:szCs w:val="24"/>
              </w:rPr>
              <w:t xml:space="preserve"> by a specialist Gender </w:t>
            </w:r>
            <w:r w:rsidR="00EB0D13" w:rsidRPr="00EF46B3">
              <w:rPr>
                <w:rFonts w:cs="Arial"/>
                <w:szCs w:val="24"/>
              </w:rPr>
              <w:t>Dysphoria</w:t>
            </w:r>
            <w:r w:rsidRPr="00EF46B3">
              <w:rPr>
                <w:rFonts w:cs="Arial"/>
                <w:szCs w:val="24"/>
              </w:rPr>
              <w:t xml:space="preserve"> surgical unit (described above). They are not commissioned by NHS England when they are performed as “stand alone” </w:t>
            </w:r>
            <w:proofErr w:type="gramStart"/>
            <w:r w:rsidRPr="00EF46B3">
              <w:rPr>
                <w:rFonts w:cs="Arial"/>
                <w:szCs w:val="24"/>
              </w:rPr>
              <w:t>procedures;</w:t>
            </w:r>
            <w:proofErr w:type="gramEnd"/>
            <w:r w:rsidRPr="00EF46B3">
              <w:rPr>
                <w:rFonts w:cs="Arial"/>
                <w:szCs w:val="24"/>
              </w:rPr>
              <w:t xml:space="preserve"> in such cases commissioning responsibility rests with the individual’s </w:t>
            </w:r>
            <w:r w:rsidR="00286B48" w:rsidRPr="00EF46B3">
              <w:rPr>
                <w:rFonts w:cs="Arial"/>
                <w:szCs w:val="24"/>
              </w:rPr>
              <w:t>Integrated Care System</w:t>
            </w:r>
            <w:r w:rsidRPr="00EF46B3">
              <w:rPr>
                <w:rFonts w:cs="Arial"/>
                <w:szCs w:val="24"/>
              </w:rPr>
              <w:t>.</w:t>
            </w:r>
          </w:p>
          <w:p w14:paraId="752BE408" w14:textId="77777777" w:rsidR="00180871" w:rsidRPr="00CB26F8" w:rsidRDefault="009B651E" w:rsidP="00EF46B3">
            <w:pPr>
              <w:spacing w:after="120"/>
              <w:rPr>
                <w:rFonts w:cs="Arial"/>
                <w:b/>
                <w:szCs w:val="24"/>
              </w:rPr>
            </w:pPr>
            <w:r w:rsidRPr="00CB26F8">
              <w:rPr>
                <w:rFonts w:cs="Arial"/>
                <w:b/>
                <w:szCs w:val="24"/>
              </w:rPr>
              <w:t>Conclusion of contact with the Provider</w:t>
            </w:r>
          </w:p>
          <w:p w14:paraId="2FD805E9" w14:textId="28F8938B" w:rsidR="00DB39A3" w:rsidRPr="00EF46B3" w:rsidRDefault="009B651E" w:rsidP="00EF46B3">
            <w:pPr>
              <w:pStyle w:val="ListParagraph"/>
              <w:numPr>
                <w:ilvl w:val="0"/>
                <w:numId w:val="36"/>
              </w:numPr>
              <w:spacing w:after="120"/>
              <w:rPr>
                <w:rFonts w:cs="Arial"/>
                <w:b/>
                <w:szCs w:val="24"/>
              </w:rPr>
            </w:pPr>
            <w:r w:rsidRPr="00EF46B3">
              <w:rPr>
                <w:rFonts w:cs="Arial"/>
                <w:szCs w:val="24"/>
              </w:rPr>
              <w:t>Individuals will be discharged from the care of the Provider:</w:t>
            </w:r>
          </w:p>
          <w:p w14:paraId="0D6790FE" w14:textId="77777777" w:rsidR="00DB39A3" w:rsidRPr="00CB26F8" w:rsidRDefault="009B651E" w:rsidP="00753AAE">
            <w:pPr>
              <w:numPr>
                <w:ilvl w:val="0"/>
                <w:numId w:val="12"/>
              </w:numPr>
              <w:spacing w:after="120"/>
              <w:rPr>
                <w:rFonts w:cs="Arial"/>
                <w:b/>
                <w:szCs w:val="24"/>
              </w:rPr>
            </w:pPr>
            <w:r w:rsidRPr="00CB26F8">
              <w:rPr>
                <w:rFonts w:cs="Arial"/>
                <w:szCs w:val="24"/>
              </w:rPr>
              <w:t>At an individual’s request</w:t>
            </w:r>
          </w:p>
          <w:p w14:paraId="59320F7A" w14:textId="77777777" w:rsidR="00DB39A3" w:rsidRPr="00CB26F8" w:rsidRDefault="009B651E" w:rsidP="00753AAE">
            <w:pPr>
              <w:numPr>
                <w:ilvl w:val="0"/>
                <w:numId w:val="12"/>
              </w:numPr>
              <w:spacing w:after="120"/>
              <w:rPr>
                <w:rFonts w:cs="Arial"/>
                <w:b/>
                <w:szCs w:val="24"/>
              </w:rPr>
            </w:pPr>
            <w:r w:rsidRPr="00CB26F8">
              <w:rPr>
                <w:rFonts w:cs="Arial"/>
                <w:szCs w:val="24"/>
              </w:rPr>
              <w:t>When the i</w:t>
            </w:r>
            <w:r w:rsidR="004363D8" w:rsidRPr="00CB26F8">
              <w:rPr>
                <w:rFonts w:cs="Arial"/>
                <w:szCs w:val="24"/>
              </w:rPr>
              <w:t xml:space="preserve">ndividual and Lead Clinician </w:t>
            </w:r>
            <w:r w:rsidRPr="00CB26F8">
              <w:rPr>
                <w:rFonts w:cs="Arial"/>
                <w:szCs w:val="24"/>
              </w:rPr>
              <w:t>agree that treatment for gender dysphoria is complete, and not less than six months after completion of the last planned intervention (the purpose of such follow-up is to assess the longer-term impact of interventions)</w:t>
            </w:r>
          </w:p>
          <w:p w14:paraId="7088A5CA" w14:textId="77777777" w:rsidR="00180871" w:rsidRPr="00CB26F8" w:rsidRDefault="009B651E" w:rsidP="00753AAE">
            <w:pPr>
              <w:numPr>
                <w:ilvl w:val="0"/>
                <w:numId w:val="12"/>
              </w:numPr>
              <w:spacing w:after="120"/>
              <w:rPr>
                <w:rFonts w:cs="Arial"/>
                <w:b/>
                <w:szCs w:val="24"/>
              </w:rPr>
            </w:pPr>
            <w:r w:rsidRPr="00CB26F8">
              <w:rPr>
                <w:rFonts w:cs="Arial"/>
                <w:szCs w:val="24"/>
              </w:rPr>
              <w:t>In accordance with the Provider’s access policy</w:t>
            </w:r>
          </w:p>
          <w:p w14:paraId="454D3ADB" w14:textId="2520790D" w:rsidR="00180871" w:rsidRPr="00EF46B3" w:rsidRDefault="009B651E" w:rsidP="00EF46B3">
            <w:pPr>
              <w:pStyle w:val="ListParagraph"/>
              <w:numPr>
                <w:ilvl w:val="0"/>
                <w:numId w:val="36"/>
              </w:numPr>
              <w:spacing w:after="120"/>
              <w:rPr>
                <w:rFonts w:cs="Arial"/>
                <w:szCs w:val="24"/>
              </w:rPr>
            </w:pPr>
            <w:r w:rsidRPr="00EF46B3">
              <w:rPr>
                <w:rFonts w:cs="Arial"/>
                <w:szCs w:val="24"/>
              </w:rPr>
              <w:t>At</w:t>
            </w:r>
            <w:r w:rsidR="004363D8" w:rsidRPr="00EF46B3">
              <w:rPr>
                <w:rFonts w:cs="Arial"/>
                <w:szCs w:val="24"/>
              </w:rPr>
              <w:t xml:space="preserve"> discharge the Lead Clinician</w:t>
            </w:r>
            <w:r w:rsidRPr="00EF46B3">
              <w:rPr>
                <w:rFonts w:cs="Arial"/>
                <w:szCs w:val="24"/>
              </w:rPr>
              <w:t xml:space="preserve"> will provide advice to the</w:t>
            </w:r>
            <w:r w:rsidR="00180871" w:rsidRPr="00EF46B3">
              <w:rPr>
                <w:rFonts w:cs="Arial"/>
                <w:szCs w:val="24"/>
              </w:rPr>
              <w:t xml:space="preserve"> individual’s GP on long-term </w:t>
            </w:r>
            <w:r w:rsidRPr="00EF46B3">
              <w:rPr>
                <w:rFonts w:cs="Arial"/>
                <w:szCs w:val="24"/>
              </w:rPr>
              <w:t>health maintenance and screening.</w:t>
            </w:r>
          </w:p>
          <w:p w14:paraId="3ED7C2CB" w14:textId="77777777" w:rsidR="00CB26F8" w:rsidRPr="00CB26F8" w:rsidRDefault="00B7037D" w:rsidP="00EF46B3">
            <w:pPr>
              <w:spacing w:after="120"/>
              <w:rPr>
                <w:rFonts w:cs="Arial"/>
                <w:b/>
                <w:szCs w:val="24"/>
              </w:rPr>
            </w:pPr>
            <w:r w:rsidRPr="00CB26F8">
              <w:rPr>
                <w:rFonts w:cs="Arial"/>
                <w:b/>
                <w:szCs w:val="24"/>
              </w:rPr>
              <w:t>Interdependence with other Services</w:t>
            </w:r>
          </w:p>
          <w:p w14:paraId="7658BA69" w14:textId="4E1BEB00" w:rsidR="00763EFB" w:rsidRPr="00EF46B3" w:rsidRDefault="00763EFB" w:rsidP="00EF46B3">
            <w:pPr>
              <w:pStyle w:val="ListParagraph"/>
              <w:numPr>
                <w:ilvl w:val="0"/>
                <w:numId w:val="36"/>
              </w:numPr>
              <w:spacing w:after="120"/>
              <w:rPr>
                <w:rFonts w:cs="Arial"/>
                <w:szCs w:val="24"/>
              </w:rPr>
            </w:pPr>
            <w:r w:rsidRPr="00EF46B3">
              <w:rPr>
                <w:rFonts w:cs="Arial"/>
                <w:szCs w:val="24"/>
              </w:rPr>
              <w:t>Each Provider</w:t>
            </w:r>
            <w:r w:rsidR="00667813" w:rsidRPr="00EF46B3">
              <w:rPr>
                <w:rFonts w:cs="Arial"/>
                <w:szCs w:val="24"/>
              </w:rPr>
              <w:t>’s Multi-Disciplinary Team</w:t>
            </w:r>
            <w:r w:rsidRPr="00EF46B3">
              <w:rPr>
                <w:rFonts w:cs="Arial"/>
                <w:szCs w:val="24"/>
              </w:rPr>
              <w:t xml:space="preserve"> will have access to the following</w:t>
            </w:r>
            <w:r w:rsidR="00667813" w:rsidRPr="00EF46B3">
              <w:rPr>
                <w:rFonts w:cs="Arial"/>
                <w:szCs w:val="24"/>
              </w:rPr>
              <w:t xml:space="preserve"> </w:t>
            </w:r>
            <w:r w:rsidR="00D05CDC" w:rsidRPr="00EF46B3">
              <w:rPr>
                <w:rFonts w:cs="Arial"/>
                <w:szCs w:val="24"/>
              </w:rPr>
              <w:t>expertise</w:t>
            </w:r>
            <w:r w:rsidRPr="00EF46B3">
              <w:rPr>
                <w:rFonts w:cs="Arial"/>
                <w:szCs w:val="24"/>
              </w:rPr>
              <w:t>:</w:t>
            </w:r>
          </w:p>
          <w:p w14:paraId="44F45816" w14:textId="77777777" w:rsidR="00763EFB" w:rsidRDefault="00763EFB" w:rsidP="00753AAE">
            <w:pPr>
              <w:numPr>
                <w:ilvl w:val="0"/>
                <w:numId w:val="21"/>
              </w:numPr>
              <w:spacing w:after="120"/>
              <w:rPr>
                <w:rFonts w:cs="Arial"/>
                <w:szCs w:val="24"/>
              </w:rPr>
            </w:pPr>
            <w:r w:rsidRPr="00763EFB">
              <w:rPr>
                <w:rFonts w:cs="Arial"/>
                <w:szCs w:val="24"/>
              </w:rPr>
              <w:t>Expertise in reproductive and sexual health, as relevant to the care of a trans and gender-diverse population</w:t>
            </w:r>
          </w:p>
          <w:p w14:paraId="6CE42D44" w14:textId="77777777" w:rsidR="00763EFB" w:rsidRDefault="00763EFB" w:rsidP="00753AAE">
            <w:pPr>
              <w:numPr>
                <w:ilvl w:val="0"/>
                <w:numId w:val="21"/>
              </w:numPr>
              <w:spacing w:after="120"/>
              <w:rPr>
                <w:rFonts w:cs="Arial"/>
                <w:szCs w:val="24"/>
              </w:rPr>
            </w:pPr>
            <w:r w:rsidRPr="00DF167F">
              <w:rPr>
                <w:rFonts w:cs="Arial"/>
                <w:szCs w:val="24"/>
              </w:rPr>
              <w:t>Expertise in the care of people with severe mental illness, and competency to recommend reasonable adjustments in gender-related treatment planning for affected people</w:t>
            </w:r>
          </w:p>
          <w:p w14:paraId="08A96B6A" w14:textId="77777777" w:rsidR="00763EFB" w:rsidRDefault="00763EFB" w:rsidP="00753AAE">
            <w:pPr>
              <w:numPr>
                <w:ilvl w:val="0"/>
                <w:numId w:val="21"/>
              </w:numPr>
              <w:spacing w:after="120"/>
              <w:rPr>
                <w:rFonts w:cs="Arial"/>
                <w:szCs w:val="24"/>
              </w:rPr>
            </w:pPr>
            <w:r w:rsidRPr="00DF167F">
              <w:rPr>
                <w:rFonts w:cs="Arial"/>
                <w:szCs w:val="24"/>
              </w:rPr>
              <w:t>Expertise in the care of people with learning disability and other special needs, including A</w:t>
            </w:r>
            <w:r>
              <w:rPr>
                <w:rFonts w:cs="Arial"/>
                <w:szCs w:val="24"/>
              </w:rPr>
              <w:t xml:space="preserve">utistic </w:t>
            </w:r>
            <w:r w:rsidRPr="00DF167F">
              <w:rPr>
                <w:rFonts w:cs="Arial"/>
                <w:szCs w:val="24"/>
              </w:rPr>
              <w:t>S</w:t>
            </w:r>
            <w:r>
              <w:rPr>
                <w:rFonts w:cs="Arial"/>
                <w:szCs w:val="24"/>
              </w:rPr>
              <w:t xml:space="preserve">pectrum </w:t>
            </w:r>
            <w:r w:rsidRPr="00DF167F">
              <w:rPr>
                <w:rFonts w:cs="Arial"/>
                <w:szCs w:val="24"/>
              </w:rPr>
              <w:t>C</w:t>
            </w:r>
            <w:r>
              <w:rPr>
                <w:rFonts w:cs="Arial"/>
                <w:szCs w:val="24"/>
              </w:rPr>
              <w:t>onditions</w:t>
            </w:r>
            <w:r w:rsidRPr="00DF167F">
              <w:rPr>
                <w:rFonts w:cs="Arial"/>
                <w:szCs w:val="24"/>
              </w:rPr>
              <w:t xml:space="preserve"> and A</w:t>
            </w:r>
            <w:r>
              <w:rPr>
                <w:rFonts w:cs="Arial"/>
                <w:szCs w:val="24"/>
              </w:rPr>
              <w:t xml:space="preserve">ttention </w:t>
            </w:r>
            <w:r w:rsidRPr="00DF167F">
              <w:rPr>
                <w:rFonts w:cs="Arial"/>
                <w:szCs w:val="24"/>
              </w:rPr>
              <w:t>D</w:t>
            </w:r>
            <w:r>
              <w:rPr>
                <w:rFonts w:cs="Arial"/>
                <w:szCs w:val="24"/>
              </w:rPr>
              <w:t xml:space="preserve">eficit </w:t>
            </w:r>
            <w:r w:rsidRPr="00DF167F">
              <w:rPr>
                <w:rFonts w:cs="Arial"/>
                <w:szCs w:val="24"/>
              </w:rPr>
              <w:t>H</w:t>
            </w:r>
            <w:r>
              <w:rPr>
                <w:rFonts w:cs="Arial"/>
                <w:szCs w:val="24"/>
              </w:rPr>
              <w:t xml:space="preserve">yperactivity </w:t>
            </w:r>
            <w:r w:rsidRPr="00DF167F">
              <w:rPr>
                <w:rFonts w:cs="Arial"/>
                <w:szCs w:val="24"/>
              </w:rPr>
              <w:t>D</w:t>
            </w:r>
            <w:r>
              <w:rPr>
                <w:rFonts w:cs="Arial"/>
                <w:szCs w:val="24"/>
              </w:rPr>
              <w:t>isorder</w:t>
            </w:r>
            <w:r w:rsidRPr="00DF167F">
              <w:rPr>
                <w:rFonts w:cs="Arial"/>
                <w:szCs w:val="24"/>
              </w:rPr>
              <w:t>, and competency to recommend reasonable adjustments in gender-related treatme</w:t>
            </w:r>
            <w:r w:rsidRPr="00C40C49">
              <w:rPr>
                <w:rFonts w:cs="Arial"/>
                <w:szCs w:val="24"/>
              </w:rPr>
              <w:t>nt planning for affected people</w:t>
            </w:r>
            <w:r>
              <w:rPr>
                <w:rFonts w:cs="Arial"/>
                <w:szCs w:val="24"/>
              </w:rPr>
              <w:t xml:space="preserve"> </w:t>
            </w:r>
          </w:p>
          <w:p w14:paraId="668A6F96" w14:textId="77777777" w:rsidR="00763EFB" w:rsidRDefault="00763EFB" w:rsidP="00753AAE">
            <w:pPr>
              <w:numPr>
                <w:ilvl w:val="0"/>
                <w:numId w:val="21"/>
              </w:numPr>
              <w:spacing w:after="120"/>
              <w:rPr>
                <w:rFonts w:cs="Arial"/>
                <w:szCs w:val="24"/>
              </w:rPr>
            </w:pPr>
            <w:r w:rsidRPr="00DF167F">
              <w:rPr>
                <w:rFonts w:cs="Arial"/>
                <w:szCs w:val="24"/>
              </w:rPr>
              <w:t>Expertise in Forensic Psychiatry</w:t>
            </w:r>
            <w:r w:rsidR="00667813">
              <w:rPr>
                <w:rFonts w:cs="Arial"/>
                <w:szCs w:val="24"/>
              </w:rPr>
              <w:t xml:space="preserve"> or Forensic Psychology</w:t>
            </w:r>
            <w:r w:rsidRPr="00DF167F">
              <w:rPr>
                <w:rFonts w:cs="Arial"/>
                <w:szCs w:val="24"/>
              </w:rPr>
              <w:t>, and competency to recommend reasonable adjustments in gender-related treatme</w:t>
            </w:r>
            <w:r w:rsidRPr="00C40C49">
              <w:rPr>
                <w:rFonts w:cs="Arial"/>
                <w:szCs w:val="24"/>
              </w:rPr>
              <w:t>nt planning for affected people</w:t>
            </w:r>
          </w:p>
          <w:p w14:paraId="67E7C287" w14:textId="77777777" w:rsidR="009A5DB4" w:rsidRDefault="00763EFB" w:rsidP="006E772F">
            <w:pPr>
              <w:numPr>
                <w:ilvl w:val="0"/>
                <w:numId w:val="21"/>
              </w:numPr>
              <w:spacing w:after="120"/>
              <w:rPr>
                <w:rFonts w:cs="Arial"/>
                <w:szCs w:val="24"/>
              </w:rPr>
            </w:pPr>
            <w:r w:rsidRPr="00DF167F">
              <w:rPr>
                <w:rFonts w:cs="Arial"/>
                <w:szCs w:val="24"/>
              </w:rPr>
              <w:t>Expertise in the care of people with severe physical illness and disabilities, including complex endocrine disorders, and competency to recommend reasonable adjustments in gender-related treatme</w:t>
            </w:r>
            <w:r w:rsidRPr="00C40C49">
              <w:rPr>
                <w:rFonts w:cs="Arial"/>
                <w:szCs w:val="24"/>
              </w:rPr>
              <w:t>nt planning for affected people</w:t>
            </w:r>
            <w:r w:rsidR="005D7E08">
              <w:rPr>
                <w:rFonts w:cs="Arial"/>
                <w:szCs w:val="24"/>
              </w:rPr>
              <w:t>.</w:t>
            </w:r>
          </w:p>
          <w:p w14:paraId="411EAA9B" w14:textId="77777777" w:rsidR="00C039F2" w:rsidRDefault="00C039F2" w:rsidP="00EF46B3">
            <w:pPr>
              <w:spacing w:after="120"/>
              <w:rPr>
                <w:rFonts w:cs="Arial"/>
                <w:b/>
                <w:szCs w:val="24"/>
              </w:rPr>
            </w:pPr>
            <w:r>
              <w:rPr>
                <w:rFonts w:cs="Arial"/>
                <w:b/>
                <w:szCs w:val="24"/>
              </w:rPr>
              <w:t>Gender Identity Healthcare Credential (Royal College of Physicians)</w:t>
            </w:r>
          </w:p>
          <w:p w14:paraId="5083D5EC" w14:textId="02CB8B38" w:rsidR="00C039F2" w:rsidRPr="00EF46B3" w:rsidRDefault="00C039F2" w:rsidP="00EF46B3">
            <w:pPr>
              <w:pStyle w:val="ListParagraph"/>
              <w:numPr>
                <w:ilvl w:val="0"/>
                <w:numId w:val="36"/>
              </w:numPr>
              <w:spacing w:after="120"/>
              <w:rPr>
                <w:rFonts w:cs="Arial"/>
                <w:szCs w:val="24"/>
              </w:rPr>
            </w:pPr>
            <w:r w:rsidRPr="00EF46B3">
              <w:rPr>
                <w:rFonts w:cs="Arial"/>
                <w:szCs w:val="24"/>
              </w:rPr>
              <w:t xml:space="preserve">The Gender Identity Healthcare Credential is for statutorily regulated healthcare professionals from any relevant profession who work with, or seeks to work with, adults who may need gender identity healthcare. Each Provider shall </w:t>
            </w:r>
            <w:proofErr w:type="gramStart"/>
            <w:r w:rsidRPr="00EF46B3">
              <w:rPr>
                <w:rFonts w:cs="Arial"/>
                <w:szCs w:val="24"/>
              </w:rPr>
              <w:t>make arrangements</w:t>
            </w:r>
            <w:proofErr w:type="gramEnd"/>
            <w:r w:rsidRPr="00EF46B3">
              <w:rPr>
                <w:rFonts w:cs="Arial"/>
                <w:szCs w:val="24"/>
              </w:rPr>
              <w:t xml:space="preserve"> to support practicum modules that offer work-based supervision and assessment of professionals undertaking </w:t>
            </w:r>
            <w:r w:rsidR="00254883" w:rsidRPr="00EF46B3">
              <w:rPr>
                <w:rFonts w:cs="Arial"/>
                <w:szCs w:val="24"/>
              </w:rPr>
              <w:t>the programme of study. These arrangements will be agreed between each Provider, NHS England, the Royal College of Physicians and relevant academic partners via an annual planning cycle.</w:t>
            </w:r>
          </w:p>
        </w:tc>
      </w:tr>
      <w:tr w:rsidR="00B7037D" w:rsidRPr="00CB26F8" w14:paraId="277B29E3" w14:textId="77777777" w:rsidTr="00FA2B91">
        <w:trPr>
          <w:trHeight w:val="490"/>
        </w:trPr>
        <w:tc>
          <w:tcPr>
            <w:tcW w:w="8908" w:type="dxa"/>
            <w:tcBorders>
              <w:bottom w:val="nil"/>
            </w:tcBorders>
            <w:shd w:val="clear" w:color="auto" w:fill="C4BC96"/>
          </w:tcPr>
          <w:p w14:paraId="1BF8810A" w14:textId="77777777" w:rsidR="00FE32A2" w:rsidRPr="00E228A4" w:rsidRDefault="00B7037D" w:rsidP="00E228A4">
            <w:pPr>
              <w:numPr>
                <w:ilvl w:val="0"/>
                <w:numId w:val="13"/>
              </w:numPr>
              <w:spacing w:after="120"/>
              <w:rPr>
                <w:rFonts w:cs="Arial"/>
                <w:b/>
                <w:szCs w:val="24"/>
              </w:rPr>
            </w:pPr>
            <w:r w:rsidRPr="00CB26F8">
              <w:rPr>
                <w:rFonts w:cs="Arial"/>
                <w:b/>
                <w:szCs w:val="24"/>
              </w:rPr>
              <w:t>Population Covered and Population Needs</w:t>
            </w:r>
          </w:p>
        </w:tc>
      </w:tr>
      <w:tr w:rsidR="00B7037D" w:rsidRPr="00CB26F8" w14:paraId="49BAB03E" w14:textId="77777777" w:rsidTr="00FA2B91">
        <w:tc>
          <w:tcPr>
            <w:tcW w:w="8908" w:type="dxa"/>
            <w:tcBorders>
              <w:top w:val="nil"/>
              <w:left w:val="single" w:sz="4" w:space="0" w:color="auto"/>
              <w:bottom w:val="nil"/>
              <w:right w:val="single" w:sz="4" w:space="0" w:color="auto"/>
            </w:tcBorders>
            <w:shd w:val="clear" w:color="auto" w:fill="auto"/>
          </w:tcPr>
          <w:p w14:paraId="3B02A75B" w14:textId="77777777" w:rsidR="00FE32A2" w:rsidRPr="00CB26F8" w:rsidRDefault="00FE32A2" w:rsidP="00F14C7F">
            <w:pPr>
              <w:spacing w:after="120"/>
              <w:rPr>
                <w:rFonts w:cs="Arial"/>
                <w:b/>
                <w:szCs w:val="24"/>
              </w:rPr>
            </w:pPr>
          </w:p>
          <w:p w14:paraId="6FDB293E" w14:textId="77777777" w:rsidR="00180871" w:rsidRPr="00CB26F8" w:rsidRDefault="00B7037D" w:rsidP="00EF46B3">
            <w:pPr>
              <w:spacing w:after="120"/>
              <w:rPr>
                <w:rFonts w:cs="Arial"/>
                <w:b/>
                <w:szCs w:val="24"/>
              </w:rPr>
            </w:pPr>
            <w:r w:rsidRPr="00CB26F8">
              <w:rPr>
                <w:rFonts w:cs="Arial"/>
                <w:b/>
                <w:szCs w:val="24"/>
              </w:rPr>
              <w:t xml:space="preserve">Population Covered </w:t>
            </w:r>
            <w:proofErr w:type="gramStart"/>
            <w:r w:rsidRPr="00CB26F8">
              <w:rPr>
                <w:rFonts w:cs="Arial"/>
                <w:b/>
                <w:szCs w:val="24"/>
              </w:rPr>
              <w:t>By</w:t>
            </w:r>
            <w:proofErr w:type="gramEnd"/>
            <w:r w:rsidRPr="00CB26F8">
              <w:rPr>
                <w:rFonts w:cs="Arial"/>
                <w:b/>
                <w:szCs w:val="24"/>
              </w:rPr>
              <w:t xml:space="preserve"> This Specification</w:t>
            </w:r>
          </w:p>
          <w:p w14:paraId="2907B87A" w14:textId="77777777" w:rsidR="00EF46B3" w:rsidRPr="00EF46B3" w:rsidRDefault="00D96409" w:rsidP="00EF46B3">
            <w:pPr>
              <w:pStyle w:val="ListParagraph"/>
              <w:numPr>
                <w:ilvl w:val="0"/>
                <w:numId w:val="36"/>
              </w:numPr>
              <w:spacing w:after="120"/>
              <w:rPr>
                <w:rFonts w:cs="Arial"/>
                <w:b/>
                <w:szCs w:val="24"/>
              </w:rPr>
            </w:pPr>
            <w:r w:rsidRPr="00EF46B3">
              <w:rPr>
                <w:rFonts w:cs="Arial"/>
                <w:szCs w:val="24"/>
              </w:rPr>
              <w:t xml:space="preserve">The service outlined in this specification is for patients ordinarily resident in England; or </w:t>
            </w:r>
            <w:proofErr w:type="gramStart"/>
            <w:r w:rsidRPr="00EF46B3">
              <w:rPr>
                <w:rFonts w:cs="Arial"/>
                <w:szCs w:val="24"/>
              </w:rPr>
              <w:t>otherwise</w:t>
            </w:r>
            <w:proofErr w:type="gramEnd"/>
            <w:r w:rsidRPr="00EF46B3">
              <w:rPr>
                <w:rFonts w:cs="Arial"/>
                <w:szCs w:val="24"/>
              </w:rPr>
              <w:t xml:space="preserve"> the commissioning responsibility of the NHS in England (as defined in guidance for “Establishing the Responsible Commissioner” and other Department of Health guidance relating to patients entitled to NHS care or exempt from charges). For the purposes of commissioning health services, this excludes patients who, whilst resident in England, are registered with a GP practice in Wales, but incl</w:t>
            </w:r>
            <w:r w:rsidR="00FE32A2" w:rsidRPr="00EF46B3">
              <w:rPr>
                <w:rFonts w:cs="Arial"/>
                <w:szCs w:val="24"/>
              </w:rPr>
              <w:t xml:space="preserve">udes </w:t>
            </w:r>
            <w:proofErr w:type="gramStart"/>
            <w:r w:rsidR="00FE32A2" w:rsidRPr="00EF46B3">
              <w:rPr>
                <w:rFonts w:cs="Arial"/>
                <w:szCs w:val="24"/>
              </w:rPr>
              <w:t>patients</w:t>
            </w:r>
            <w:proofErr w:type="gramEnd"/>
            <w:r w:rsidR="00FE32A2" w:rsidRPr="00EF46B3">
              <w:rPr>
                <w:rFonts w:cs="Arial"/>
                <w:szCs w:val="24"/>
              </w:rPr>
              <w:t xml:space="preserve"> resident in </w:t>
            </w:r>
            <w:r w:rsidRPr="00EF46B3">
              <w:rPr>
                <w:rFonts w:cs="Arial"/>
                <w:szCs w:val="24"/>
              </w:rPr>
              <w:t>Wales who are registered with a GP practice in England.</w:t>
            </w:r>
          </w:p>
          <w:p w14:paraId="4486FD63" w14:textId="77777777" w:rsidR="00EF46B3" w:rsidRPr="00EF46B3" w:rsidRDefault="00EF46B3" w:rsidP="00EF46B3">
            <w:pPr>
              <w:pStyle w:val="ListParagraph"/>
              <w:spacing w:after="120"/>
              <w:ind w:left="360"/>
              <w:rPr>
                <w:rFonts w:cs="Arial"/>
                <w:b/>
                <w:szCs w:val="24"/>
              </w:rPr>
            </w:pPr>
          </w:p>
          <w:p w14:paraId="6F27D6A9" w14:textId="77777777" w:rsidR="00EF46B3" w:rsidRPr="00EF46B3" w:rsidRDefault="00B8371C" w:rsidP="00EF46B3">
            <w:pPr>
              <w:pStyle w:val="ListParagraph"/>
              <w:numPr>
                <w:ilvl w:val="0"/>
                <w:numId w:val="36"/>
              </w:numPr>
              <w:spacing w:after="120"/>
              <w:rPr>
                <w:rFonts w:cs="Arial"/>
                <w:b/>
                <w:szCs w:val="24"/>
              </w:rPr>
            </w:pPr>
            <w:r w:rsidRPr="00EF46B3">
              <w:rPr>
                <w:rFonts w:cs="Arial"/>
                <w:szCs w:val="24"/>
              </w:rPr>
              <w:t>The Provider will receive referrals of indivi</w:t>
            </w:r>
            <w:r w:rsidR="005A05A7" w:rsidRPr="00EF46B3">
              <w:rPr>
                <w:rFonts w:cs="Arial"/>
                <w:szCs w:val="24"/>
              </w:rPr>
              <w:t xml:space="preserve">duals </w:t>
            </w:r>
            <w:r w:rsidRPr="00EF46B3">
              <w:rPr>
                <w:rFonts w:cs="Arial"/>
                <w:szCs w:val="24"/>
              </w:rPr>
              <w:t xml:space="preserve">from 17 years of age who </w:t>
            </w:r>
            <w:r w:rsidR="000B40B6" w:rsidRPr="00EF46B3">
              <w:rPr>
                <w:rFonts w:cs="Arial"/>
                <w:szCs w:val="24"/>
              </w:rPr>
              <w:t xml:space="preserve">may </w:t>
            </w:r>
            <w:r w:rsidRPr="00EF46B3">
              <w:rPr>
                <w:rFonts w:cs="Arial"/>
                <w:szCs w:val="24"/>
              </w:rPr>
              <w:t>have gender dysphoria that is a consequence of their gender identity being incongruent with their visible sex characteristics and/or the social role typically associated with those characteristics (gender incongruence).</w:t>
            </w:r>
            <w:r w:rsidR="00471764" w:rsidRPr="00EF46B3">
              <w:rPr>
                <w:rFonts w:cs="Arial"/>
                <w:szCs w:val="24"/>
              </w:rPr>
              <w:t xml:space="preserve"> Subsequent interventions will only be accessed by individuals who have been diagnosed with gender dysphoria.</w:t>
            </w:r>
          </w:p>
          <w:p w14:paraId="66631232" w14:textId="77777777" w:rsidR="00EF46B3" w:rsidRPr="00EF46B3" w:rsidRDefault="00EF46B3" w:rsidP="00EF46B3">
            <w:pPr>
              <w:pStyle w:val="ListParagraph"/>
              <w:rPr>
                <w:rFonts w:cs="Arial"/>
                <w:szCs w:val="24"/>
              </w:rPr>
            </w:pPr>
          </w:p>
          <w:p w14:paraId="229056BF" w14:textId="7AB43A27" w:rsidR="00180871" w:rsidRPr="00EF46B3" w:rsidRDefault="002D2606" w:rsidP="00EF46B3">
            <w:pPr>
              <w:pStyle w:val="ListParagraph"/>
              <w:numPr>
                <w:ilvl w:val="0"/>
                <w:numId w:val="36"/>
              </w:numPr>
              <w:spacing w:after="120"/>
              <w:rPr>
                <w:rFonts w:cs="Arial"/>
                <w:b/>
                <w:szCs w:val="24"/>
              </w:rPr>
            </w:pPr>
            <w:r w:rsidRPr="00EF46B3">
              <w:rPr>
                <w:rFonts w:cs="Arial"/>
                <w:szCs w:val="24"/>
              </w:rPr>
              <w:t>This specification recognis</w:t>
            </w:r>
            <w:r w:rsidR="00B8371C" w:rsidRPr="00EF46B3">
              <w:rPr>
                <w:rFonts w:cs="Arial"/>
                <w:szCs w:val="24"/>
              </w:rPr>
              <w:t>es and respects diversity in gender identity and its expression. It recognises that there are other identities than the traditional (binary) identities associated with ‘man’ and ‘woman’, and that gender diver</w:t>
            </w:r>
            <w:r w:rsidR="00FE32A2" w:rsidRPr="00EF46B3">
              <w:rPr>
                <w:rFonts w:cs="Arial"/>
                <w:szCs w:val="24"/>
              </w:rPr>
              <w:t xml:space="preserve">se people with such identities </w:t>
            </w:r>
            <w:r w:rsidR="00FE2974" w:rsidRPr="00EF46B3">
              <w:rPr>
                <w:rFonts w:cs="Arial"/>
                <w:szCs w:val="24"/>
              </w:rPr>
              <w:t>(and who</w:t>
            </w:r>
            <w:r w:rsidR="00B8371C" w:rsidRPr="00EF46B3">
              <w:rPr>
                <w:rFonts w:cs="Arial"/>
                <w:szCs w:val="24"/>
              </w:rPr>
              <w:t xml:space="preserve"> are known by a variety of other names, including </w:t>
            </w:r>
            <w:r w:rsidR="00FE2974" w:rsidRPr="00EF46B3">
              <w:rPr>
                <w:rFonts w:cs="Arial"/>
                <w:szCs w:val="24"/>
              </w:rPr>
              <w:t xml:space="preserve">non-binary, trans-feminine, </w:t>
            </w:r>
            <w:r w:rsidR="00B8371C" w:rsidRPr="00EF46B3">
              <w:rPr>
                <w:rFonts w:cs="Arial"/>
                <w:szCs w:val="24"/>
              </w:rPr>
              <w:t>trans-mas</w:t>
            </w:r>
            <w:r w:rsidR="00FE2974" w:rsidRPr="00EF46B3">
              <w:rPr>
                <w:rFonts w:cs="Arial"/>
                <w:szCs w:val="24"/>
              </w:rPr>
              <w:t>culine, Genderqueer, non-gender</w:t>
            </w:r>
            <w:r w:rsidR="00B8371C" w:rsidRPr="00EF46B3">
              <w:rPr>
                <w:rFonts w:cs="Arial"/>
                <w:szCs w:val="24"/>
              </w:rPr>
              <w:t xml:space="preserve"> </w:t>
            </w:r>
            <w:r w:rsidR="00FE2974" w:rsidRPr="00EF46B3">
              <w:rPr>
                <w:rFonts w:cs="Arial"/>
                <w:szCs w:val="24"/>
              </w:rPr>
              <w:t>and others)</w:t>
            </w:r>
            <w:r w:rsidR="00B8371C" w:rsidRPr="00EF46B3">
              <w:rPr>
                <w:rFonts w:cs="Arial"/>
                <w:szCs w:val="24"/>
              </w:rPr>
              <w:t xml:space="preserve"> </w:t>
            </w:r>
            <w:r w:rsidR="000B40B6" w:rsidRPr="00EF46B3">
              <w:rPr>
                <w:rFonts w:cs="Arial"/>
                <w:szCs w:val="24"/>
              </w:rPr>
              <w:t xml:space="preserve">who meet the criteria for access to the NHS pathway of care </w:t>
            </w:r>
            <w:r w:rsidR="00B8371C" w:rsidRPr="00EF46B3">
              <w:rPr>
                <w:rFonts w:cs="Arial"/>
                <w:szCs w:val="24"/>
              </w:rPr>
              <w:t xml:space="preserve">must have access to treatment and the interventions described in this document </w:t>
            </w:r>
            <w:r w:rsidR="00FE32A2" w:rsidRPr="00EF46B3">
              <w:rPr>
                <w:rFonts w:cs="Arial"/>
                <w:szCs w:val="24"/>
              </w:rPr>
              <w:t xml:space="preserve">that is equitable to the access </w:t>
            </w:r>
            <w:r w:rsidR="00B8371C" w:rsidRPr="00EF46B3">
              <w:rPr>
                <w:rFonts w:cs="Arial"/>
                <w:szCs w:val="24"/>
              </w:rPr>
              <w:t>available to</w:t>
            </w:r>
            <w:r w:rsidR="00FE2974" w:rsidRPr="00EF46B3">
              <w:rPr>
                <w:rFonts w:cs="Arial"/>
                <w:szCs w:val="24"/>
              </w:rPr>
              <w:t xml:space="preserve"> people with binary identities.</w:t>
            </w:r>
          </w:p>
          <w:p w14:paraId="165C9044" w14:textId="77777777" w:rsidR="00C40C49" w:rsidRPr="00C40C49" w:rsidRDefault="00C40C49" w:rsidP="00C40C49">
            <w:pPr>
              <w:spacing w:after="120"/>
              <w:ind w:left="318"/>
              <w:rPr>
                <w:rFonts w:cs="Arial"/>
                <w:szCs w:val="24"/>
                <w:u w:val="single"/>
              </w:rPr>
            </w:pPr>
            <w:r w:rsidRPr="00C40C49">
              <w:rPr>
                <w:rFonts w:cs="Arial"/>
                <w:szCs w:val="24"/>
                <w:u w:val="single"/>
              </w:rPr>
              <w:t>Exclusions</w:t>
            </w:r>
          </w:p>
          <w:p w14:paraId="781740FD" w14:textId="73A56398" w:rsidR="00C40C49" w:rsidRPr="00EF46B3" w:rsidRDefault="00C40C49" w:rsidP="00EF46B3">
            <w:pPr>
              <w:pStyle w:val="ListParagraph"/>
              <w:numPr>
                <w:ilvl w:val="0"/>
                <w:numId w:val="36"/>
              </w:numPr>
              <w:spacing w:after="120"/>
              <w:rPr>
                <w:rFonts w:cs="Arial"/>
                <w:szCs w:val="24"/>
              </w:rPr>
            </w:pPr>
            <w:r w:rsidRPr="00EF46B3">
              <w:rPr>
                <w:rFonts w:cs="Arial"/>
                <w:szCs w:val="24"/>
              </w:rPr>
              <w:t xml:space="preserve">Referrals will not be accepted </w:t>
            </w:r>
            <w:r w:rsidR="00D05CDC" w:rsidRPr="00EF46B3">
              <w:rPr>
                <w:rFonts w:cs="Arial"/>
                <w:szCs w:val="24"/>
              </w:rPr>
              <w:t>for</w:t>
            </w:r>
            <w:r w:rsidRPr="00EF46B3">
              <w:rPr>
                <w:rFonts w:cs="Arial"/>
                <w:szCs w:val="24"/>
              </w:rPr>
              <w:t xml:space="preserve"> individuals</w:t>
            </w:r>
            <w:r w:rsidR="00C246E6" w:rsidRPr="00EF46B3">
              <w:rPr>
                <w:rFonts w:cs="Arial"/>
                <w:szCs w:val="24"/>
              </w:rPr>
              <w:t xml:space="preserve"> </w:t>
            </w:r>
            <w:r w:rsidRPr="00EF46B3">
              <w:rPr>
                <w:rFonts w:cs="Arial"/>
                <w:szCs w:val="24"/>
              </w:rPr>
              <w:t xml:space="preserve">who are not registered with a GP </w:t>
            </w:r>
            <w:r w:rsidR="00267485" w:rsidRPr="00EF46B3">
              <w:rPr>
                <w:rFonts w:cs="Arial"/>
                <w:szCs w:val="24"/>
              </w:rPr>
              <w:t xml:space="preserve">given the benefits to the individual of ongoing support from their </w:t>
            </w:r>
            <w:r w:rsidRPr="00EF46B3">
              <w:rPr>
                <w:rFonts w:cs="Arial"/>
                <w:szCs w:val="24"/>
              </w:rPr>
              <w:t>GP</w:t>
            </w:r>
            <w:r w:rsidR="00267485" w:rsidRPr="00EF46B3">
              <w:rPr>
                <w:rFonts w:cs="Arial"/>
                <w:szCs w:val="24"/>
              </w:rPr>
              <w:t>, particularly after discharge from the care of the specialist team.</w:t>
            </w:r>
            <w:r w:rsidRPr="00EF46B3">
              <w:rPr>
                <w:rFonts w:cs="Arial"/>
                <w:szCs w:val="24"/>
              </w:rPr>
              <w:t xml:space="preserve"> </w:t>
            </w:r>
          </w:p>
          <w:p w14:paraId="020E24C6" w14:textId="77777777" w:rsidR="00EF46B3" w:rsidRPr="00EF46B3" w:rsidRDefault="00EF46B3" w:rsidP="00EF46B3">
            <w:pPr>
              <w:pStyle w:val="ListParagraph"/>
              <w:spacing w:after="120"/>
              <w:ind w:left="360"/>
              <w:rPr>
                <w:rFonts w:cs="Arial"/>
                <w:szCs w:val="24"/>
              </w:rPr>
            </w:pPr>
          </w:p>
          <w:p w14:paraId="2F252445" w14:textId="330236A5" w:rsidR="00FE32A2" w:rsidRPr="00CB26F8" w:rsidRDefault="006F0496" w:rsidP="00180871">
            <w:pPr>
              <w:spacing w:after="120"/>
              <w:rPr>
                <w:rFonts w:cs="Arial"/>
                <w:b/>
                <w:szCs w:val="24"/>
              </w:rPr>
            </w:pPr>
            <w:r w:rsidRPr="00CB26F8">
              <w:rPr>
                <w:rFonts w:cs="Arial"/>
                <w:b/>
                <w:szCs w:val="24"/>
              </w:rPr>
              <w:t>Population needs; and Expected Demographic Changes</w:t>
            </w:r>
          </w:p>
          <w:p w14:paraId="2D4BA30B" w14:textId="236F5EE3" w:rsidR="00EA4BE4" w:rsidRPr="00EF46B3" w:rsidRDefault="006F0496" w:rsidP="00EF46B3">
            <w:pPr>
              <w:pStyle w:val="ListParagraph"/>
              <w:numPr>
                <w:ilvl w:val="0"/>
                <w:numId w:val="36"/>
              </w:numPr>
              <w:spacing w:after="120"/>
              <w:rPr>
                <w:szCs w:val="24"/>
              </w:rPr>
            </w:pPr>
            <w:r w:rsidRPr="00EF46B3">
              <w:rPr>
                <w:szCs w:val="24"/>
              </w:rPr>
              <w:t xml:space="preserve">There is no official data on the number of people in England who present with a degree of gender variance. Difficulties in assessing prevalence are exacerbated by the limited evidence base. There is considerable variation in reported prevalence due to factors such as: variable data reporting by providers; differences in diagnostic thresholds applied and inconsistent terminology; the methodology and diagnostic classification used; and the year and country </w:t>
            </w:r>
            <w:r w:rsidR="00FE32A2" w:rsidRPr="00EF46B3">
              <w:rPr>
                <w:szCs w:val="24"/>
              </w:rPr>
              <w:t>in which the studies took place</w:t>
            </w:r>
            <w:r w:rsidR="00C246E6" w:rsidRPr="00EF46B3">
              <w:rPr>
                <w:szCs w:val="24"/>
              </w:rPr>
              <w:t>.</w:t>
            </w:r>
            <w:r w:rsidR="00EF46B3">
              <w:rPr>
                <w:szCs w:val="24"/>
              </w:rPr>
              <w:t xml:space="preserve"> </w:t>
            </w:r>
            <w:proofErr w:type="gramStart"/>
            <w:r w:rsidRPr="00EF46B3">
              <w:rPr>
                <w:rFonts w:cs="Arial"/>
                <w:szCs w:val="24"/>
              </w:rPr>
              <w:t>Thus</w:t>
            </w:r>
            <w:proofErr w:type="gramEnd"/>
            <w:r w:rsidRPr="00EF46B3">
              <w:rPr>
                <w:rFonts w:cs="Arial"/>
                <w:szCs w:val="24"/>
              </w:rPr>
              <w:t xml:space="preserve"> there is considerable variation in estimates, and the absence of reliable prevalence data exacerbates the challenges in planning and commissioning gender identity services. What is consistent across the literature is a recognition that the number of people pursuing treatment options – the incidence of expressed need - is rising significantly</w:t>
            </w:r>
          </w:p>
        </w:tc>
      </w:tr>
      <w:tr w:rsidR="00B7037D" w:rsidRPr="00CB26F8" w14:paraId="41DFB285" w14:textId="77777777" w:rsidTr="00FA2B91">
        <w:tc>
          <w:tcPr>
            <w:tcW w:w="8908" w:type="dxa"/>
            <w:tcBorders>
              <w:top w:val="nil"/>
            </w:tcBorders>
            <w:shd w:val="clear" w:color="auto" w:fill="auto"/>
          </w:tcPr>
          <w:p w14:paraId="1A080CCC" w14:textId="77777777" w:rsidR="00B7037D" w:rsidRPr="00CB26F8" w:rsidRDefault="00B7037D" w:rsidP="00F14C7F">
            <w:pPr>
              <w:spacing w:after="120"/>
              <w:rPr>
                <w:rFonts w:cs="Arial"/>
                <w:b/>
                <w:szCs w:val="24"/>
              </w:rPr>
            </w:pPr>
          </w:p>
        </w:tc>
      </w:tr>
    </w:tbl>
    <w:p w14:paraId="7FCE6DF9" w14:textId="77777777" w:rsidR="00FA2B91" w:rsidRDefault="00FA2B91" w:rsidP="00F14C7F">
      <w:pPr>
        <w:spacing w:after="120"/>
        <w:rPr>
          <w:b/>
          <w:szCs w:val="24"/>
          <w:lang w:eastAsia="x-none"/>
        </w:rPr>
      </w:pPr>
    </w:p>
    <w:p w14:paraId="04C60225" w14:textId="77777777" w:rsidR="00FA2B91" w:rsidRDefault="00FA2B91" w:rsidP="00F14C7F">
      <w:pPr>
        <w:spacing w:after="120"/>
        <w:rPr>
          <w:b/>
          <w:szCs w:val="24"/>
          <w:lang w:eastAsia="x-none"/>
        </w:rPr>
      </w:pPr>
    </w:p>
    <w:p w14:paraId="1440B22C" w14:textId="77777777" w:rsidR="00FA2B91" w:rsidRDefault="00FA2B91" w:rsidP="00F14C7F">
      <w:pPr>
        <w:spacing w:after="120"/>
        <w:rPr>
          <w:b/>
          <w:szCs w:val="24"/>
          <w:lang w:eastAsia="x-none"/>
        </w:rPr>
      </w:pPr>
    </w:p>
    <w:p w14:paraId="4A1EB782" w14:textId="77777777" w:rsidR="00FA2B91" w:rsidRDefault="00FA2B91" w:rsidP="00F14C7F">
      <w:pPr>
        <w:spacing w:after="120"/>
        <w:rPr>
          <w:b/>
          <w:szCs w:val="24"/>
          <w:lang w:eastAsia="x-none"/>
        </w:rPr>
      </w:pPr>
    </w:p>
    <w:p w14:paraId="2B1508CE" w14:textId="77777777" w:rsidR="00FA2B91" w:rsidRDefault="00FA2B91" w:rsidP="00F14C7F">
      <w:pPr>
        <w:spacing w:after="120"/>
        <w:rPr>
          <w:b/>
          <w:szCs w:val="24"/>
          <w:lang w:eastAsia="x-none"/>
        </w:rPr>
      </w:pPr>
    </w:p>
    <w:p w14:paraId="489BCBD7" w14:textId="77777777" w:rsidR="00FA2B91" w:rsidRDefault="00FA2B91" w:rsidP="00F14C7F">
      <w:pPr>
        <w:spacing w:after="120"/>
        <w:rPr>
          <w:b/>
          <w:szCs w:val="24"/>
          <w:lang w:eastAsia="x-none"/>
        </w:rPr>
      </w:pPr>
    </w:p>
    <w:p w14:paraId="1B098E8B" w14:textId="77777777" w:rsidR="003E3730" w:rsidRDefault="003E3730" w:rsidP="00F14C7F">
      <w:pPr>
        <w:spacing w:after="120"/>
        <w:rPr>
          <w:b/>
          <w:szCs w:val="24"/>
          <w:lang w:eastAsia="x-none"/>
        </w:rPr>
      </w:pPr>
    </w:p>
    <w:p w14:paraId="0088DECB" w14:textId="77777777" w:rsidR="003E3730" w:rsidRDefault="003E3730" w:rsidP="00F14C7F">
      <w:pPr>
        <w:spacing w:after="120"/>
        <w:rPr>
          <w:b/>
          <w:szCs w:val="24"/>
          <w:lang w:eastAsia="x-none"/>
        </w:rPr>
      </w:pPr>
    </w:p>
    <w:p w14:paraId="791AB45C" w14:textId="77777777" w:rsidR="003E3730" w:rsidRDefault="003E3730" w:rsidP="00F14C7F">
      <w:pPr>
        <w:spacing w:after="120"/>
        <w:rPr>
          <w:b/>
          <w:szCs w:val="24"/>
          <w:lang w:eastAsia="x-none"/>
        </w:rPr>
      </w:pPr>
    </w:p>
    <w:p w14:paraId="0713EF07" w14:textId="77777777" w:rsidR="003E3730" w:rsidRDefault="003E3730" w:rsidP="00F14C7F">
      <w:pPr>
        <w:spacing w:after="120"/>
        <w:rPr>
          <w:b/>
          <w:szCs w:val="24"/>
          <w:lang w:eastAsia="x-none"/>
        </w:rPr>
      </w:pPr>
    </w:p>
    <w:p w14:paraId="12CAFFCA" w14:textId="77777777" w:rsidR="003E3730" w:rsidRDefault="003E3730" w:rsidP="00F14C7F">
      <w:pPr>
        <w:spacing w:after="120"/>
        <w:rPr>
          <w:b/>
          <w:szCs w:val="24"/>
          <w:lang w:eastAsia="x-none"/>
        </w:rPr>
      </w:pPr>
    </w:p>
    <w:p w14:paraId="09C6AD65" w14:textId="77777777" w:rsidR="00E771D7" w:rsidRDefault="00E771D7" w:rsidP="00F14C7F">
      <w:pPr>
        <w:spacing w:after="120"/>
        <w:rPr>
          <w:b/>
          <w:szCs w:val="24"/>
          <w:lang w:eastAsia="x-none"/>
        </w:rPr>
        <w:sectPr w:rsidR="00E771D7" w:rsidSect="003E3730">
          <w:footerReference w:type="default" r:id="rId12"/>
          <w:pgSz w:w="11906" w:h="16838" w:code="9"/>
          <w:pgMar w:top="1440" w:right="1440" w:bottom="1440" w:left="1440" w:header="708" w:footer="708" w:gutter="0"/>
          <w:cols w:space="708"/>
          <w:docGrid w:linePitch="360"/>
        </w:sectPr>
      </w:pPr>
    </w:p>
    <w:p w14:paraId="569A10B7" w14:textId="1BE7D2F8" w:rsidR="002E1AF4" w:rsidRPr="001E5F6F" w:rsidRDefault="00425521" w:rsidP="00F14C7F">
      <w:pPr>
        <w:spacing w:after="120"/>
        <w:rPr>
          <w:b/>
          <w:szCs w:val="24"/>
          <w:lang w:eastAsia="x-none"/>
        </w:rPr>
      </w:pPr>
      <w:r>
        <w:rPr>
          <w:b/>
          <w:szCs w:val="24"/>
          <w:lang w:eastAsia="x-none"/>
        </w:rPr>
        <w:t>A</w:t>
      </w:r>
      <w:r w:rsidR="001E5F6F" w:rsidRPr="001E5F6F">
        <w:rPr>
          <w:b/>
          <w:szCs w:val="24"/>
          <w:lang w:eastAsia="x-none"/>
        </w:rPr>
        <w:t>ppendix A</w:t>
      </w:r>
    </w:p>
    <w:p w14:paraId="6F8024B4" w14:textId="77777777" w:rsidR="001E5F6F" w:rsidRPr="00CB26F8" w:rsidRDefault="002571CD" w:rsidP="00F14C7F">
      <w:pPr>
        <w:spacing w:after="120"/>
        <w:rPr>
          <w:szCs w:val="24"/>
          <w:lang w:eastAsia="x-none"/>
        </w:rPr>
      </w:pPr>
      <w:r w:rsidRPr="007A07DA">
        <w:rPr>
          <w:noProof/>
        </w:rPr>
        <w:drawing>
          <wp:inline distT="0" distB="0" distL="0" distR="0" wp14:anchorId="1F7A009D" wp14:editId="2676436E">
            <wp:extent cx="8858250" cy="492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0" cy="4924425"/>
                    </a:xfrm>
                    <a:prstGeom prst="rect">
                      <a:avLst/>
                    </a:prstGeom>
                    <a:noFill/>
                    <a:ln>
                      <a:noFill/>
                    </a:ln>
                  </pic:spPr>
                </pic:pic>
              </a:graphicData>
            </a:graphic>
          </wp:inline>
        </w:drawing>
      </w:r>
    </w:p>
    <w:p w14:paraId="220D00A2" w14:textId="77777777" w:rsidR="002E1AF4" w:rsidRPr="00CB26F8" w:rsidRDefault="002E1AF4" w:rsidP="00F14C7F">
      <w:pPr>
        <w:spacing w:after="120"/>
        <w:rPr>
          <w:szCs w:val="24"/>
          <w:lang w:eastAsia="x-none"/>
        </w:rPr>
      </w:pPr>
    </w:p>
    <w:p w14:paraId="67DE0869" w14:textId="77777777" w:rsidR="002E1AF4" w:rsidRPr="00CB26F8" w:rsidRDefault="002E1AF4" w:rsidP="00F14C7F">
      <w:pPr>
        <w:spacing w:after="120"/>
        <w:rPr>
          <w:szCs w:val="24"/>
          <w:lang w:eastAsia="x-none"/>
        </w:rPr>
      </w:pPr>
    </w:p>
    <w:p w14:paraId="4BF5A1E0" w14:textId="77777777" w:rsidR="002E1AF4" w:rsidRPr="00CB26F8" w:rsidRDefault="002571CD" w:rsidP="00F14C7F">
      <w:pPr>
        <w:spacing w:after="120"/>
        <w:rPr>
          <w:szCs w:val="24"/>
          <w:lang w:eastAsia="x-none"/>
        </w:rPr>
      </w:pPr>
      <w:r w:rsidRPr="007A07DA">
        <w:rPr>
          <w:noProof/>
        </w:rPr>
        <w:drawing>
          <wp:inline distT="0" distB="0" distL="0" distR="0" wp14:anchorId="220595E0" wp14:editId="4B536DB8">
            <wp:extent cx="8382000" cy="5724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0" cy="5724525"/>
                    </a:xfrm>
                    <a:prstGeom prst="rect">
                      <a:avLst/>
                    </a:prstGeom>
                    <a:noFill/>
                    <a:ln>
                      <a:noFill/>
                    </a:ln>
                  </pic:spPr>
                </pic:pic>
              </a:graphicData>
            </a:graphic>
          </wp:inline>
        </w:drawing>
      </w:r>
    </w:p>
    <w:p w14:paraId="294FE046" w14:textId="77777777" w:rsidR="007A07DA" w:rsidRDefault="002571CD" w:rsidP="00F14C7F">
      <w:pPr>
        <w:spacing w:after="120"/>
        <w:sectPr w:rsidR="007A07DA" w:rsidSect="00E771D7">
          <w:pgSz w:w="16838" w:h="11906" w:orient="landscape" w:code="9"/>
          <w:pgMar w:top="1440" w:right="1440" w:bottom="1440" w:left="1440" w:header="708" w:footer="708" w:gutter="0"/>
          <w:cols w:space="708"/>
          <w:docGrid w:linePitch="360"/>
        </w:sectPr>
      </w:pPr>
      <w:r w:rsidRPr="007A07DA">
        <w:rPr>
          <w:noProof/>
        </w:rPr>
        <w:drawing>
          <wp:inline distT="0" distB="0" distL="0" distR="0" wp14:anchorId="5AA50049" wp14:editId="0708E590">
            <wp:extent cx="8124825" cy="5724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24825" cy="5724525"/>
                    </a:xfrm>
                    <a:prstGeom prst="rect">
                      <a:avLst/>
                    </a:prstGeom>
                    <a:noFill/>
                    <a:ln>
                      <a:noFill/>
                    </a:ln>
                  </pic:spPr>
                </pic:pic>
              </a:graphicData>
            </a:graphic>
          </wp:inline>
        </w:drawing>
      </w:r>
    </w:p>
    <w:p w14:paraId="785BA55C" w14:textId="77777777" w:rsidR="00CB26F8" w:rsidRPr="00CB26F8" w:rsidRDefault="001E5F6F" w:rsidP="00CB26F8">
      <w:pPr>
        <w:spacing w:after="120"/>
        <w:rPr>
          <w:b/>
          <w:szCs w:val="24"/>
          <w:lang w:eastAsia="x-none"/>
        </w:rPr>
      </w:pPr>
      <w:r>
        <w:rPr>
          <w:b/>
          <w:szCs w:val="24"/>
          <w:lang w:eastAsia="x-none"/>
        </w:rPr>
        <w:t>A</w:t>
      </w:r>
      <w:r w:rsidR="00CB26F8" w:rsidRPr="00CB26F8">
        <w:rPr>
          <w:b/>
          <w:szCs w:val="24"/>
          <w:lang w:eastAsia="x-none"/>
        </w:rPr>
        <w:t>ppendix B: New Referrals</w:t>
      </w:r>
    </w:p>
    <w:p w14:paraId="6EE3A2A5" w14:textId="77777777" w:rsidR="00CB26F8" w:rsidRPr="00CB26F8" w:rsidRDefault="00CB26F8" w:rsidP="00CB26F8">
      <w:pPr>
        <w:spacing w:after="120"/>
        <w:rPr>
          <w:szCs w:val="24"/>
          <w:lang w:eastAsia="x-none"/>
        </w:rPr>
      </w:pPr>
      <w:r w:rsidRPr="00CB26F8">
        <w:rPr>
          <w:szCs w:val="24"/>
          <w:lang w:eastAsia="x-none"/>
        </w:rPr>
        <w:t xml:space="preserve">All Providers designated against this service specification will operate in accordance with a </w:t>
      </w:r>
      <w:proofErr w:type="gramStart"/>
      <w:r w:rsidRPr="00CB26F8">
        <w:rPr>
          <w:szCs w:val="24"/>
          <w:lang w:eastAsia="x-none"/>
        </w:rPr>
        <w:t>nationally-consistent</w:t>
      </w:r>
      <w:proofErr w:type="gramEnd"/>
      <w:r w:rsidRPr="00CB26F8">
        <w:rPr>
          <w:szCs w:val="24"/>
          <w:lang w:eastAsia="x-none"/>
        </w:rPr>
        <w:t xml:space="preserve"> access policy.</w:t>
      </w:r>
    </w:p>
    <w:p w14:paraId="2DE38742" w14:textId="77777777" w:rsidR="00CB26F8" w:rsidRDefault="00CB26F8" w:rsidP="00CB26F8">
      <w:pPr>
        <w:spacing w:after="120"/>
        <w:rPr>
          <w:szCs w:val="24"/>
          <w:lang w:eastAsia="x-none"/>
        </w:rPr>
      </w:pPr>
      <w:r w:rsidRPr="00CB26F8">
        <w:rPr>
          <w:szCs w:val="24"/>
          <w:lang w:eastAsia="x-none"/>
        </w:rPr>
        <w:t xml:space="preserve">Referrals may be made by </w:t>
      </w:r>
      <w:r w:rsidR="001C1E0F">
        <w:rPr>
          <w:szCs w:val="24"/>
          <w:lang w:eastAsia="x-none"/>
        </w:rPr>
        <w:t xml:space="preserve">individuals themselves; </w:t>
      </w:r>
      <w:r w:rsidRPr="00CB26F8">
        <w:rPr>
          <w:szCs w:val="24"/>
          <w:lang w:eastAsia="x-none"/>
        </w:rPr>
        <w:t>General Practitioners (GP)</w:t>
      </w:r>
      <w:r w:rsidR="001C1E0F">
        <w:rPr>
          <w:szCs w:val="24"/>
          <w:lang w:eastAsia="x-none"/>
        </w:rPr>
        <w:t>;</w:t>
      </w:r>
      <w:r w:rsidRPr="00CB26F8">
        <w:rPr>
          <w:szCs w:val="24"/>
          <w:lang w:eastAsia="x-none"/>
        </w:rPr>
        <w:t xml:space="preserve"> other medically qualified professionals</w:t>
      </w:r>
      <w:r w:rsidR="001C1E0F">
        <w:rPr>
          <w:szCs w:val="24"/>
          <w:lang w:eastAsia="x-none"/>
        </w:rPr>
        <w:t>;</w:t>
      </w:r>
      <w:r w:rsidRPr="00CB26F8">
        <w:rPr>
          <w:szCs w:val="24"/>
          <w:lang w:eastAsia="x-none"/>
        </w:rPr>
        <w:t xml:space="preserve"> and other professionals regulated by the Health and Care Professions Council. The Provider will acknowledge the referral in writing with the referrer and individual within 14 days.</w:t>
      </w:r>
    </w:p>
    <w:p w14:paraId="0CC8B770" w14:textId="77777777" w:rsidR="00D611F1" w:rsidRPr="00CB26F8" w:rsidRDefault="00D611F1" w:rsidP="00CB26F8">
      <w:pPr>
        <w:spacing w:after="120"/>
        <w:rPr>
          <w:szCs w:val="24"/>
          <w:lang w:eastAsia="x-none"/>
        </w:rPr>
      </w:pPr>
      <w:r w:rsidRPr="00D611F1">
        <w:rPr>
          <w:szCs w:val="24"/>
          <w:lang w:eastAsia="x-none"/>
        </w:rPr>
        <w:t>Providers will respect the right of an individual to self-refer. These individuals should not be disadvantaged by a Provider’s insistence on obtaining a prescriptive set of data from the individual’s GP as a pre-condition to assessment as this may, in practice, deny an individual the right of self-referral.</w:t>
      </w:r>
    </w:p>
    <w:p w14:paraId="0B31E99B" w14:textId="77777777" w:rsidR="00CB26F8" w:rsidRDefault="00CB26F8" w:rsidP="00CB26F8">
      <w:pPr>
        <w:spacing w:after="120"/>
        <w:rPr>
          <w:szCs w:val="24"/>
          <w:lang w:eastAsia="x-none"/>
        </w:rPr>
      </w:pPr>
      <w:r w:rsidRPr="00CB26F8">
        <w:rPr>
          <w:szCs w:val="24"/>
          <w:lang w:eastAsia="x-none"/>
        </w:rPr>
        <w:t>Providers will not be unnecessarily prescriptive about the information to be included with the referrals (including insistence on use of template forms) but referrers will be encouraged to pro</w:t>
      </w:r>
      <w:r>
        <w:rPr>
          <w:szCs w:val="24"/>
          <w:lang w:eastAsia="x-none"/>
        </w:rPr>
        <w:t>vide the following information:</w:t>
      </w:r>
    </w:p>
    <w:p w14:paraId="14DB8F57" w14:textId="77777777" w:rsidR="00CB26F8" w:rsidRDefault="00CB26F8" w:rsidP="00753AAE">
      <w:pPr>
        <w:numPr>
          <w:ilvl w:val="0"/>
          <w:numId w:val="18"/>
        </w:numPr>
        <w:spacing w:after="120"/>
        <w:rPr>
          <w:szCs w:val="24"/>
          <w:lang w:eastAsia="x-none"/>
        </w:rPr>
      </w:pPr>
      <w:r w:rsidRPr="00CB26F8">
        <w:rPr>
          <w:szCs w:val="24"/>
          <w:lang w:eastAsia="x-none"/>
        </w:rPr>
        <w:t>A description of the individual’s experience of gender dysphoria, including duration</w:t>
      </w:r>
    </w:p>
    <w:p w14:paraId="4616C0A4" w14:textId="77777777" w:rsidR="00CB26F8" w:rsidRDefault="00CB26F8" w:rsidP="00753AAE">
      <w:pPr>
        <w:numPr>
          <w:ilvl w:val="0"/>
          <w:numId w:val="18"/>
        </w:numPr>
        <w:spacing w:after="120"/>
        <w:rPr>
          <w:szCs w:val="24"/>
          <w:lang w:eastAsia="x-none"/>
        </w:rPr>
      </w:pPr>
      <w:r w:rsidRPr="00CB26F8">
        <w:rPr>
          <w:szCs w:val="24"/>
          <w:lang w:eastAsia="x-none"/>
        </w:rPr>
        <w:t>The individual’s clinical needs and expectations</w:t>
      </w:r>
    </w:p>
    <w:p w14:paraId="71E92AB8" w14:textId="77777777" w:rsidR="00CB26F8" w:rsidRDefault="00CB26F8" w:rsidP="00753AAE">
      <w:pPr>
        <w:numPr>
          <w:ilvl w:val="0"/>
          <w:numId w:val="18"/>
        </w:numPr>
        <w:spacing w:after="120"/>
        <w:rPr>
          <w:szCs w:val="24"/>
          <w:lang w:eastAsia="x-none"/>
        </w:rPr>
      </w:pPr>
      <w:r w:rsidRPr="00CB26F8">
        <w:rPr>
          <w:szCs w:val="24"/>
          <w:lang w:eastAsia="x-none"/>
        </w:rPr>
        <w:t>A summary of significant physical and mental health history</w:t>
      </w:r>
    </w:p>
    <w:p w14:paraId="1918B834" w14:textId="77777777" w:rsidR="00CB26F8" w:rsidRDefault="00CB26F8" w:rsidP="00753AAE">
      <w:pPr>
        <w:numPr>
          <w:ilvl w:val="0"/>
          <w:numId w:val="18"/>
        </w:numPr>
        <w:spacing w:after="120"/>
        <w:rPr>
          <w:szCs w:val="24"/>
          <w:lang w:eastAsia="x-none"/>
        </w:rPr>
      </w:pPr>
      <w:r w:rsidRPr="00CB26F8">
        <w:rPr>
          <w:szCs w:val="24"/>
          <w:lang w:eastAsia="x-none"/>
        </w:rPr>
        <w:t>History of substance misuse</w:t>
      </w:r>
    </w:p>
    <w:p w14:paraId="645F50F8" w14:textId="77777777" w:rsidR="00CB26F8" w:rsidRDefault="00CB26F8" w:rsidP="00753AAE">
      <w:pPr>
        <w:numPr>
          <w:ilvl w:val="0"/>
          <w:numId w:val="18"/>
        </w:numPr>
        <w:spacing w:after="120"/>
        <w:rPr>
          <w:szCs w:val="24"/>
          <w:lang w:eastAsia="x-none"/>
        </w:rPr>
      </w:pPr>
      <w:r w:rsidRPr="00CB26F8">
        <w:rPr>
          <w:szCs w:val="24"/>
          <w:lang w:eastAsia="x-none"/>
        </w:rPr>
        <w:t>Risk assessment</w:t>
      </w:r>
    </w:p>
    <w:p w14:paraId="37B22F22" w14:textId="77777777" w:rsidR="00CB26F8" w:rsidRDefault="00CB26F8" w:rsidP="00753AAE">
      <w:pPr>
        <w:numPr>
          <w:ilvl w:val="0"/>
          <w:numId w:val="18"/>
        </w:numPr>
        <w:spacing w:after="120"/>
        <w:rPr>
          <w:szCs w:val="24"/>
          <w:lang w:eastAsia="x-none"/>
        </w:rPr>
      </w:pPr>
      <w:r w:rsidRPr="00CB26F8">
        <w:rPr>
          <w:szCs w:val="24"/>
          <w:lang w:eastAsia="x-none"/>
        </w:rPr>
        <w:t>Forensic history</w:t>
      </w:r>
    </w:p>
    <w:p w14:paraId="49C6FA8D" w14:textId="77777777" w:rsidR="00CB26F8" w:rsidRDefault="00CB26F8" w:rsidP="00753AAE">
      <w:pPr>
        <w:numPr>
          <w:ilvl w:val="0"/>
          <w:numId w:val="18"/>
        </w:numPr>
        <w:spacing w:after="120"/>
        <w:rPr>
          <w:szCs w:val="24"/>
          <w:lang w:eastAsia="x-none"/>
        </w:rPr>
      </w:pPr>
      <w:r w:rsidRPr="00CB26F8">
        <w:rPr>
          <w:szCs w:val="24"/>
          <w:lang w:eastAsia="x-none"/>
        </w:rPr>
        <w:t>Development history</w:t>
      </w:r>
    </w:p>
    <w:p w14:paraId="7186CCD6" w14:textId="77777777" w:rsidR="00CB26F8" w:rsidRDefault="00CB26F8" w:rsidP="00753AAE">
      <w:pPr>
        <w:numPr>
          <w:ilvl w:val="0"/>
          <w:numId w:val="18"/>
        </w:numPr>
        <w:spacing w:after="120"/>
        <w:rPr>
          <w:szCs w:val="24"/>
          <w:lang w:eastAsia="x-none"/>
        </w:rPr>
      </w:pPr>
      <w:r w:rsidRPr="00CB26F8">
        <w:rPr>
          <w:szCs w:val="24"/>
          <w:lang w:eastAsia="x-none"/>
        </w:rPr>
        <w:t>Information regarding and copies of correspondence related to any previous care for gender dysphoria</w:t>
      </w:r>
    </w:p>
    <w:p w14:paraId="5B6D10DF" w14:textId="77777777" w:rsidR="00CB26F8" w:rsidRDefault="00CB26F8" w:rsidP="00753AAE">
      <w:pPr>
        <w:numPr>
          <w:ilvl w:val="0"/>
          <w:numId w:val="18"/>
        </w:numPr>
        <w:spacing w:after="120"/>
        <w:rPr>
          <w:szCs w:val="24"/>
          <w:lang w:eastAsia="x-none"/>
        </w:rPr>
      </w:pPr>
      <w:r w:rsidRPr="00CB26F8">
        <w:rPr>
          <w:szCs w:val="24"/>
          <w:lang w:eastAsia="x-none"/>
        </w:rPr>
        <w:t>The individual’s current medication use (prescribed; self-medication; recreational)</w:t>
      </w:r>
    </w:p>
    <w:p w14:paraId="022D20D8" w14:textId="77777777" w:rsidR="00CB26F8" w:rsidRDefault="00CB26F8" w:rsidP="00753AAE">
      <w:pPr>
        <w:numPr>
          <w:ilvl w:val="0"/>
          <w:numId w:val="18"/>
        </w:numPr>
        <w:spacing w:after="120"/>
        <w:rPr>
          <w:szCs w:val="24"/>
          <w:lang w:eastAsia="x-none"/>
        </w:rPr>
      </w:pPr>
      <w:r w:rsidRPr="00CB26F8">
        <w:rPr>
          <w:szCs w:val="24"/>
          <w:lang w:eastAsia="x-none"/>
        </w:rPr>
        <w:t>Significant social history</w:t>
      </w:r>
    </w:p>
    <w:p w14:paraId="1851AC2E" w14:textId="77777777" w:rsidR="002E1AF4" w:rsidRPr="00CB26F8" w:rsidRDefault="00CB26F8" w:rsidP="00753AAE">
      <w:pPr>
        <w:numPr>
          <w:ilvl w:val="0"/>
          <w:numId w:val="18"/>
        </w:numPr>
        <w:spacing w:after="120"/>
        <w:rPr>
          <w:szCs w:val="24"/>
          <w:lang w:eastAsia="x-none"/>
        </w:rPr>
      </w:pPr>
      <w:r w:rsidRPr="00CB26F8">
        <w:rPr>
          <w:szCs w:val="24"/>
          <w:lang w:eastAsia="x-none"/>
        </w:rPr>
        <w:t>Basic biometrics (height; weight; Body Mass Index; blood pressure)</w:t>
      </w:r>
    </w:p>
    <w:p w14:paraId="10470C8D" w14:textId="77777777" w:rsidR="002E1AF4" w:rsidRPr="00CB26F8" w:rsidRDefault="002E1AF4" w:rsidP="00F14C7F">
      <w:pPr>
        <w:spacing w:after="120"/>
        <w:rPr>
          <w:szCs w:val="24"/>
          <w:lang w:eastAsia="x-none"/>
        </w:rPr>
      </w:pPr>
    </w:p>
    <w:p w14:paraId="10B92B4F" w14:textId="77777777" w:rsidR="002E1AF4" w:rsidRPr="00CB26F8" w:rsidRDefault="002E1AF4" w:rsidP="00F14C7F">
      <w:pPr>
        <w:spacing w:after="120"/>
        <w:rPr>
          <w:rFonts w:cs="Arial"/>
          <w:b/>
          <w:szCs w:val="24"/>
        </w:rPr>
      </w:pPr>
    </w:p>
    <w:p w14:paraId="2ABF1E03" w14:textId="77777777" w:rsidR="00954E07" w:rsidRDefault="00954E07" w:rsidP="00F14C7F">
      <w:pPr>
        <w:spacing w:after="120"/>
        <w:rPr>
          <w:rFonts w:cs="Arial"/>
          <w:b/>
          <w:szCs w:val="24"/>
        </w:rPr>
      </w:pPr>
    </w:p>
    <w:p w14:paraId="00EF284B" w14:textId="77777777" w:rsidR="00954E07" w:rsidRDefault="00954E07" w:rsidP="00F14C7F">
      <w:pPr>
        <w:spacing w:after="120"/>
        <w:rPr>
          <w:rFonts w:cs="Arial"/>
          <w:b/>
          <w:szCs w:val="24"/>
        </w:rPr>
      </w:pPr>
    </w:p>
    <w:p w14:paraId="71E9787F" w14:textId="77777777" w:rsidR="00954E07" w:rsidRDefault="00954E07" w:rsidP="00F14C7F">
      <w:pPr>
        <w:spacing w:after="120"/>
        <w:rPr>
          <w:rFonts w:cs="Arial"/>
          <w:b/>
          <w:szCs w:val="24"/>
        </w:rPr>
      </w:pPr>
    </w:p>
    <w:p w14:paraId="24C08345" w14:textId="77777777" w:rsidR="00541415" w:rsidRDefault="00541415" w:rsidP="00F14C7F">
      <w:pPr>
        <w:spacing w:after="120"/>
        <w:rPr>
          <w:rFonts w:cs="Arial"/>
          <w:b/>
          <w:szCs w:val="24"/>
        </w:rPr>
      </w:pPr>
    </w:p>
    <w:p w14:paraId="0878B913" w14:textId="77777777" w:rsidR="00C246E6" w:rsidRDefault="00C246E6" w:rsidP="00F14C7F">
      <w:pPr>
        <w:spacing w:after="120"/>
        <w:rPr>
          <w:rFonts w:cs="Arial"/>
          <w:b/>
          <w:szCs w:val="24"/>
        </w:rPr>
      </w:pPr>
    </w:p>
    <w:p w14:paraId="1A60BA90" w14:textId="77777777" w:rsidR="00C246E6" w:rsidRDefault="00C246E6" w:rsidP="00F14C7F">
      <w:pPr>
        <w:spacing w:after="120"/>
        <w:rPr>
          <w:rFonts w:cs="Arial"/>
          <w:b/>
          <w:szCs w:val="24"/>
        </w:rPr>
      </w:pPr>
    </w:p>
    <w:p w14:paraId="0BE1E3AF" w14:textId="77777777" w:rsidR="00C246E6" w:rsidRDefault="00C246E6" w:rsidP="00F14C7F">
      <w:pPr>
        <w:spacing w:after="120"/>
        <w:rPr>
          <w:rFonts w:cs="Arial"/>
          <w:b/>
          <w:szCs w:val="24"/>
        </w:rPr>
      </w:pPr>
    </w:p>
    <w:p w14:paraId="73E85AFB" w14:textId="77777777" w:rsidR="00C246E6" w:rsidRDefault="00C246E6" w:rsidP="00F14C7F">
      <w:pPr>
        <w:spacing w:after="120"/>
        <w:rPr>
          <w:rFonts w:cs="Arial"/>
          <w:b/>
          <w:szCs w:val="24"/>
        </w:rPr>
      </w:pPr>
    </w:p>
    <w:p w14:paraId="33F7480B" w14:textId="77777777" w:rsidR="008457D3" w:rsidRPr="00CB26F8" w:rsidRDefault="00954E07" w:rsidP="00F14C7F">
      <w:pPr>
        <w:spacing w:after="120"/>
        <w:rPr>
          <w:rFonts w:cs="Arial"/>
          <w:b/>
          <w:szCs w:val="24"/>
        </w:rPr>
      </w:pPr>
      <w:r>
        <w:rPr>
          <w:rFonts w:cs="Arial"/>
          <w:b/>
          <w:szCs w:val="24"/>
        </w:rPr>
        <w:lastRenderedPageBreak/>
        <w:t>Appendix C</w:t>
      </w:r>
      <w:r w:rsidR="008457D3" w:rsidRPr="00CB26F8">
        <w:rPr>
          <w:rFonts w:cs="Arial"/>
          <w:b/>
          <w:szCs w:val="24"/>
        </w:rPr>
        <w:t>: Requests for transfers of care from specialised adult services</w:t>
      </w:r>
    </w:p>
    <w:p w14:paraId="3093A763" w14:textId="77777777" w:rsidR="008457D3" w:rsidRPr="00CB26F8" w:rsidRDefault="008457D3" w:rsidP="00F14C7F">
      <w:pPr>
        <w:spacing w:after="120"/>
        <w:rPr>
          <w:rFonts w:cs="Arial"/>
          <w:szCs w:val="24"/>
        </w:rPr>
      </w:pPr>
      <w:r w:rsidRPr="00CB26F8">
        <w:rPr>
          <w:rFonts w:cs="Arial"/>
          <w:szCs w:val="24"/>
        </w:rPr>
        <w:t xml:space="preserve">Transfers of care may be requested by other </w:t>
      </w:r>
      <w:r w:rsidR="000559EC">
        <w:rPr>
          <w:rFonts w:cs="Arial"/>
          <w:szCs w:val="24"/>
        </w:rPr>
        <w:t xml:space="preserve">designated Gender </w:t>
      </w:r>
      <w:r w:rsidR="00D611F1">
        <w:rPr>
          <w:rFonts w:cs="Arial"/>
          <w:szCs w:val="24"/>
        </w:rPr>
        <w:t>Dysphoria</w:t>
      </w:r>
      <w:r w:rsidR="000559EC">
        <w:rPr>
          <w:rFonts w:cs="Arial"/>
          <w:szCs w:val="24"/>
        </w:rPr>
        <w:t xml:space="preserve"> Clinics </w:t>
      </w:r>
      <w:r w:rsidRPr="00CB26F8">
        <w:rPr>
          <w:rFonts w:cs="Arial"/>
          <w:szCs w:val="24"/>
        </w:rPr>
        <w:t>that are commissioned</w:t>
      </w:r>
      <w:r w:rsidR="000559EC">
        <w:rPr>
          <w:rFonts w:cs="Arial"/>
          <w:szCs w:val="24"/>
        </w:rPr>
        <w:t xml:space="preserve"> against</w:t>
      </w:r>
      <w:r w:rsidRPr="00CB26F8">
        <w:rPr>
          <w:rFonts w:cs="Arial"/>
          <w:szCs w:val="24"/>
        </w:rPr>
        <w:t xml:space="preserve"> this service specification. Transfer requests must include diagnostic coding, a summary of relevant care prior to transfer, a treatment plan with recommendations for on-going care, and patient consent to sharing of information between the initiating and receiving providers; where these criteria are not fulfilled the referral will be managed as a new referral. Individuals will be offered a single ‘induction’ consultation by the receiving provider during which the diagnostic assessment and treatment plan will be reviewed and, unless there are compelling clinical reasons (these must be carefully explained to the individual), the receiving provider will continue the previously agreed care plan. The Provider will acknowledge the transfer request in writing with the referrer and individual within 14 days. Individuals accepted for transfer of care will not be re-assessed unless there are compelling clinical reasons. A consultation with the receiving Provider will be offered at an interval consistent with the individual’s treatment plan and previous care.</w:t>
      </w:r>
    </w:p>
    <w:p w14:paraId="2B894F31" w14:textId="77777777" w:rsidR="00850926" w:rsidRPr="00CB26F8" w:rsidRDefault="00850926" w:rsidP="00F14C7F">
      <w:pPr>
        <w:spacing w:after="120"/>
        <w:rPr>
          <w:rFonts w:cs="Arial"/>
          <w:szCs w:val="24"/>
        </w:rPr>
      </w:pPr>
    </w:p>
    <w:p w14:paraId="4DAFD68E" w14:textId="77777777" w:rsidR="00850926" w:rsidRPr="00CB26F8" w:rsidRDefault="00850926" w:rsidP="00F14C7F">
      <w:pPr>
        <w:spacing w:after="120"/>
        <w:rPr>
          <w:rFonts w:cs="Arial"/>
          <w:szCs w:val="24"/>
        </w:rPr>
      </w:pPr>
    </w:p>
    <w:p w14:paraId="6DC6D190" w14:textId="77777777" w:rsidR="00850926" w:rsidRPr="00CB26F8" w:rsidRDefault="00850926" w:rsidP="00F14C7F">
      <w:pPr>
        <w:spacing w:after="120"/>
        <w:rPr>
          <w:rFonts w:cs="Arial"/>
          <w:szCs w:val="24"/>
        </w:rPr>
      </w:pPr>
    </w:p>
    <w:p w14:paraId="7F626231" w14:textId="77777777" w:rsidR="00850926" w:rsidRPr="00CB26F8" w:rsidRDefault="00850926" w:rsidP="00F14C7F">
      <w:pPr>
        <w:spacing w:after="120"/>
        <w:rPr>
          <w:rFonts w:cs="Arial"/>
          <w:szCs w:val="24"/>
        </w:rPr>
      </w:pPr>
    </w:p>
    <w:p w14:paraId="7C5DECC1" w14:textId="77777777" w:rsidR="00850926" w:rsidRPr="00CB26F8" w:rsidRDefault="00850926" w:rsidP="00F14C7F">
      <w:pPr>
        <w:spacing w:after="120"/>
        <w:rPr>
          <w:rFonts w:cs="Arial"/>
          <w:szCs w:val="24"/>
        </w:rPr>
      </w:pPr>
    </w:p>
    <w:p w14:paraId="3A50AB2A" w14:textId="77777777" w:rsidR="00850926" w:rsidRPr="00CB26F8" w:rsidRDefault="00850926" w:rsidP="00F14C7F">
      <w:pPr>
        <w:spacing w:after="120"/>
        <w:rPr>
          <w:rFonts w:cs="Arial"/>
          <w:szCs w:val="24"/>
        </w:rPr>
      </w:pPr>
    </w:p>
    <w:p w14:paraId="43C33842" w14:textId="77777777" w:rsidR="00850926" w:rsidRPr="00CB26F8" w:rsidRDefault="00850926" w:rsidP="00F14C7F">
      <w:pPr>
        <w:spacing w:after="120"/>
        <w:rPr>
          <w:rFonts w:cs="Arial"/>
          <w:szCs w:val="24"/>
        </w:rPr>
      </w:pPr>
    </w:p>
    <w:p w14:paraId="33521930" w14:textId="77777777" w:rsidR="00850926" w:rsidRPr="00CB26F8" w:rsidRDefault="00850926" w:rsidP="00F14C7F">
      <w:pPr>
        <w:spacing w:after="120"/>
        <w:rPr>
          <w:rFonts w:cs="Arial"/>
          <w:szCs w:val="24"/>
        </w:rPr>
      </w:pPr>
    </w:p>
    <w:p w14:paraId="6F9D1EC6" w14:textId="77777777" w:rsidR="00850926" w:rsidRPr="00CB26F8" w:rsidRDefault="00850926" w:rsidP="00F14C7F">
      <w:pPr>
        <w:spacing w:after="120"/>
        <w:rPr>
          <w:rFonts w:cs="Arial"/>
          <w:szCs w:val="24"/>
        </w:rPr>
      </w:pPr>
    </w:p>
    <w:p w14:paraId="79B2980C" w14:textId="77777777" w:rsidR="00850926" w:rsidRPr="00CB26F8" w:rsidRDefault="00850926" w:rsidP="00F14C7F">
      <w:pPr>
        <w:spacing w:after="120"/>
        <w:rPr>
          <w:rFonts w:cs="Arial"/>
          <w:szCs w:val="24"/>
        </w:rPr>
      </w:pPr>
    </w:p>
    <w:p w14:paraId="538009F5" w14:textId="77777777" w:rsidR="00850926" w:rsidRPr="00CB26F8" w:rsidRDefault="00850926" w:rsidP="00F14C7F">
      <w:pPr>
        <w:spacing w:after="120"/>
        <w:rPr>
          <w:rFonts w:cs="Arial"/>
          <w:szCs w:val="24"/>
        </w:rPr>
      </w:pPr>
    </w:p>
    <w:p w14:paraId="720AD0BF" w14:textId="77777777" w:rsidR="00850926" w:rsidRPr="00CB26F8" w:rsidRDefault="00850926" w:rsidP="00F14C7F">
      <w:pPr>
        <w:spacing w:after="120"/>
        <w:rPr>
          <w:rFonts w:cs="Arial"/>
          <w:szCs w:val="24"/>
        </w:rPr>
      </w:pPr>
    </w:p>
    <w:p w14:paraId="23F719F0" w14:textId="77777777" w:rsidR="00850926" w:rsidRPr="00CB26F8" w:rsidRDefault="00850926" w:rsidP="00F14C7F">
      <w:pPr>
        <w:spacing w:after="120"/>
        <w:rPr>
          <w:rFonts w:cs="Arial"/>
          <w:szCs w:val="24"/>
        </w:rPr>
      </w:pPr>
    </w:p>
    <w:p w14:paraId="59AACB0D" w14:textId="77777777" w:rsidR="00850926" w:rsidRPr="00CB26F8" w:rsidRDefault="00850926" w:rsidP="00F14C7F">
      <w:pPr>
        <w:spacing w:after="120"/>
        <w:rPr>
          <w:rFonts w:cs="Arial"/>
          <w:szCs w:val="24"/>
        </w:rPr>
      </w:pPr>
    </w:p>
    <w:p w14:paraId="083C9AC7" w14:textId="77777777" w:rsidR="00850926" w:rsidRPr="00CB26F8" w:rsidRDefault="00850926" w:rsidP="00F14C7F">
      <w:pPr>
        <w:spacing w:after="120"/>
        <w:rPr>
          <w:rFonts w:cs="Arial"/>
          <w:szCs w:val="24"/>
        </w:rPr>
      </w:pPr>
    </w:p>
    <w:p w14:paraId="180A6ABC" w14:textId="77777777" w:rsidR="00850926" w:rsidRPr="00CB26F8" w:rsidRDefault="00850926" w:rsidP="00F14C7F">
      <w:pPr>
        <w:spacing w:after="120"/>
        <w:rPr>
          <w:rFonts w:cs="Arial"/>
          <w:szCs w:val="24"/>
        </w:rPr>
      </w:pPr>
    </w:p>
    <w:p w14:paraId="62AD68BD" w14:textId="77777777" w:rsidR="00850926" w:rsidRPr="00CB26F8" w:rsidRDefault="00850926" w:rsidP="00F14C7F">
      <w:pPr>
        <w:spacing w:after="120"/>
        <w:rPr>
          <w:rFonts w:cs="Arial"/>
          <w:szCs w:val="24"/>
        </w:rPr>
      </w:pPr>
    </w:p>
    <w:p w14:paraId="31980E93" w14:textId="77777777" w:rsidR="00850926" w:rsidRPr="00CB26F8" w:rsidRDefault="00850926" w:rsidP="00F14C7F">
      <w:pPr>
        <w:spacing w:after="120"/>
        <w:rPr>
          <w:rFonts w:cs="Arial"/>
          <w:szCs w:val="24"/>
        </w:rPr>
      </w:pPr>
    </w:p>
    <w:p w14:paraId="3173F72B" w14:textId="77777777" w:rsidR="00954E07" w:rsidRDefault="00954E07" w:rsidP="00F14C7F">
      <w:pPr>
        <w:spacing w:after="120"/>
        <w:rPr>
          <w:rFonts w:cs="Arial"/>
          <w:b/>
          <w:szCs w:val="24"/>
        </w:rPr>
      </w:pPr>
    </w:p>
    <w:p w14:paraId="48DDF753" w14:textId="77777777" w:rsidR="00A32E63" w:rsidRDefault="00A32E63" w:rsidP="00F14C7F">
      <w:pPr>
        <w:spacing w:after="120"/>
        <w:rPr>
          <w:rFonts w:cs="Arial"/>
          <w:b/>
          <w:szCs w:val="24"/>
        </w:rPr>
      </w:pPr>
    </w:p>
    <w:p w14:paraId="066608AB" w14:textId="77777777" w:rsidR="00A32E63" w:rsidRDefault="00A32E63" w:rsidP="00F14C7F">
      <w:pPr>
        <w:spacing w:after="120"/>
        <w:rPr>
          <w:rFonts w:cs="Arial"/>
          <w:b/>
          <w:szCs w:val="24"/>
        </w:rPr>
      </w:pPr>
    </w:p>
    <w:p w14:paraId="13672F9D" w14:textId="77777777" w:rsidR="00A32E63" w:rsidRDefault="00A32E63" w:rsidP="00F14C7F">
      <w:pPr>
        <w:spacing w:after="120"/>
        <w:rPr>
          <w:rFonts w:cs="Arial"/>
          <w:b/>
          <w:szCs w:val="24"/>
        </w:rPr>
      </w:pPr>
    </w:p>
    <w:p w14:paraId="789A42F1" w14:textId="77777777" w:rsidR="00A32E63" w:rsidRDefault="00A32E63" w:rsidP="00F14C7F">
      <w:pPr>
        <w:spacing w:after="120"/>
        <w:rPr>
          <w:rFonts w:cs="Arial"/>
          <w:b/>
          <w:szCs w:val="24"/>
        </w:rPr>
      </w:pPr>
    </w:p>
    <w:p w14:paraId="51071E7F" w14:textId="77777777" w:rsidR="00850926" w:rsidRPr="00715CAD" w:rsidRDefault="00954E07" w:rsidP="00F14C7F">
      <w:pPr>
        <w:spacing w:after="120"/>
        <w:rPr>
          <w:rFonts w:cs="Arial"/>
          <w:b/>
          <w:szCs w:val="24"/>
        </w:rPr>
      </w:pPr>
      <w:r w:rsidRPr="00715CAD">
        <w:rPr>
          <w:rFonts w:cs="Arial"/>
          <w:b/>
          <w:szCs w:val="24"/>
        </w:rPr>
        <w:lastRenderedPageBreak/>
        <w:t>Appendix D</w:t>
      </w:r>
      <w:r w:rsidR="00850926" w:rsidRPr="00715CAD">
        <w:rPr>
          <w:rFonts w:cs="Arial"/>
          <w:b/>
          <w:szCs w:val="24"/>
        </w:rPr>
        <w:t>: Transfers from the Gender Identity Development Service for Children and Young People</w:t>
      </w:r>
    </w:p>
    <w:p w14:paraId="1929CD39" w14:textId="77777777" w:rsidR="00715CAD" w:rsidRDefault="00715CAD" w:rsidP="00F14C7F">
      <w:pPr>
        <w:spacing w:after="120"/>
        <w:rPr>
          <w:rFonts w:cs="Arial"/>
          <w:szCs w:val="24"/>
        </w:rPr>
      </w:pPr>
      <w:r>
        <w:rPr>
          <w:rFonts w:cs="Arial"/>
          <w:szCs w:val="24"/>
        </w:rPr>
        <w:t>The Gender Identity Development Service is commissioned to provide care and support for young people up to 18 years of age</w:t>
      </w:r>
      <w:r w:rsidR="002D6839">
        <w:rPr>
          <w:rFonts w:cs="Arial"/>
          <w:szCs w:val="24"/>
        </w:rPr>
        <w:t>.</w:t>
      </w:r>
    </w:p>
    <w:p w14:paraId="73B2CA70" w14:textId="77777777" w:rsidR="00180871" w:rsidRPr="00715CAD" w:rsidRDefault="00850926" w:rsidP="00F14C7F">
      <w:pPr>
        <w:spacing w:after="120"/>
        <w:rPr>
          <w:rFonts w:cs="Arial"/>
          <w:b/>
          <w:szCs w:val="24"/>
        </w:rPr>
      </w:pPr>
      <w:r w:rsidRPr="00715CAD">
        <w:rPr>
          <w:rFonts w:cs="Arial"/>
          <w:szCs w:val="24"/>
        </w:rPr>
        <w:t>The objective of the transfer is a purposeful, planned movement of adolescents and young adults from a young person’s service into an adult-oriented service. A well-planned transfer must focus on the needs of the individual and must provide coordinated, un-interrupted care and support to avoid negative consequences. The parents, carers and other family members will also value support, information and guidance in the process of transfer. There are therefore compelling reasons for close cooperation, communication and mutual support between the specialist team in the Gender Identity Development Service fo</w:t>
      </w:r>
      <w:r w:rsidR="009A5DB4">
        <w:rPr>
          <w:rFonts w:cs="Arial"/>
          <w:szCs w:val="24"/>
        </w:rPr>
        <w:t>r children and young p</w:t>
      </w:r>
      <w:r w:rsidRPr="00715CAD">
        <w:rPr>
          <w:rFonts w:cs="Arial"/>
          <w:szCs w:val="24"/>
        </w:rPr>
        <w:t>eople and specialist teams in adult services.</w:t>
      </w:r>
    </w:p>
    <w:p w14:paraId="2D0D1683" w14:textId="77777777" w:rsidR="00180871" w:rsidRPr="00284605" w:rsidRDefault="00850926" w:rsidP="00F14C7F">
      <w:pPr>
        <w:spacing w:after="120"/>
        <w:rPr>
          <w:rFonts w:cs="Arial"/>
          <w:b/>
          <w:szCs w:val="24"/>
        </w:rPr>
      </w:pPr>
      <w:r w:rsidRPr="007A02E8">
        <w:rPr>
          <w:rFonts w:cs="Arial"/>
          <w:szCs w:val="24"/>
        </w:rPr>
        <w:t>Although the transfer to adult services will not be made until the young person is aged at least 17 years, a</w:t>
      </w:r>
      <w:r w:rsidRPr="0017346A">
        <w:rPr>
          <w:rFonts w:cs="Arial"/>
          <w:szCs w:val="24"/>
        </w:rPr>
        <w:t xml:space="preserve"> request for transfer of care may be made by t</w:t>
      </w:r>
      <w:r w:rsidRPr="00284605">
        <w:rPr>
          <w:rFonts w:cs="Arial"/>
          <w:szCs w:val="24"/>
        </w:rPr>
        <w:t>he young person’s service to the adult service before th</w:t>
      </w:r>
      <w:r w:rsidRPr="00A61D17">
        <w:rPr>
          <w:rFonts w:cs="Arial"/>
          <w:szCs w:val="24"/>
        </w:rPr>
        <w:t>e young person’s 17th birthday. This may be appropriate where joint working between the two services, including joint consultations with the young person, within a “lead-in” period is beneficial to ensure a timely and effective eventual transfer</w:t>
      </w:r>
      <w:r w:rsidR="003A781D">
        <w:rPr>
          <w:rFonts w:cs="Arial"/>
          <w:szCs w:val="24"/>
        </w:rPr>
        <w:t xml:space="preserve"> or to determine if a transfer to adult services is appropriate at that time</w:t>
      </w:r>
      <w:r w:rsidRPr="00284605">
        <w:rPr>
          <w:rFonts w:cs="Arial"/>
          <w:szCs w:val="24"/>
        </w:rPr>
        <w:t>.</w:t>
      </w:r>
    </w:p>
    <w:p w14:paraId="6A2561C0" w14:textId="77777777" w:rsidR="00180871" w:rsidRDefault="00850926" w:rsidP="00F14C7F">
      <w:pPr>
        <w:spacing w:after="120"/>
        <w:rPr>
          <w:rFonts w:cs="Arial"/>
          <w:szCs w:val="24"/>
        </w:rPr>
      </w:pPr>
      <w:r w:rsidRPr="00A61D17">
        <w:rPr>
          <w:rFonts w:cs="Arial"/>
          <w:szCs w:val="24"/>
        </w:rPr>
        <w:t>Young people who have completed a diagnostic assessment in the young person’s service will not be re-assessed for diagnosis in the adult service. The adult service will be provided with the</w:t>
      </w:r>
      <w:r w:rsidRPr="002D6839">
        <w:rPr>
          <w:rFonts w:cs="Arial"/>
          <w:szCs w:val="24"/>
        </w:rPr>
        <w:t xml:space="preserve"> relevant diagnostic codes and agreed treatment plan, including the medical treatment plan if the young person is receiving endocrine interventions, and as part of the process for transfer the adult service will agree arrangements for continued prescribing with the young person’s endocrine service. </w:t>
      </w:r>
    </w:p>
    <w:p w14:paraId="3723EB80" w14:textId="77777777" w:rsidR="00180871" w:rsidRPr="00A61D17" w:rsidRDefault="00850926" w:rsidP="00F14C7F">
      <w:pPr>
        <w:spacing w:after="120"/>
        <w:rPr>
          <w:rFonts w:cs="Arial"/>
          <w:b/>
          <w:szCs w:val="24"/>
        </w:rPr>
      </w:pPr>
      <w:r w:rsidRPr="00284605">
        <w:rPr>
          <w:rFonts w:cs="Arial"/>
          <w:szCs w:val="24"/>
        </w:rPr>
        <w:t>Individualised risk management procedures should be in place and agreed across both services, particularly for more vulnerable young people or those with more complex needs.</w:t>
      </w:r>
    </w:p>
    <w:p w14:paraId="780E64CA" w14:textId="77777777" w:rsidR="002D6839" w:rsidRDefault="00850926" w:rsidP="00180871">
      <w:pPr>
        <w:spacing w:after="120"/>
        <w:rPr>
          <w:rFonts w:cs="Arial"/>
          <w:szCs w:val="24"/>
        </w:rPr>
      </w:pPr>
      <w:r w:rsidRPr="002D6839">
        <w:rPr>
          <w:rFonts w:cs="Arial"/>
          <w:szCs w:val="24"/>
        </w:rPr>
        <w:t xml:space="preserve">In cases where the young person </w:t>
      </w:r>
      <w:r w:rsidRPr="00284605">
        <w:rPr>
          <w:rFonts w:cs="Arial"/>
          <w:szCs w:val="24"/>
        </w:rPr>
        <w:t xml:space="preserve">fulfils the diagnosis for gender dysphoria but </w:t>
      </w:r>
      <w:r w:rsidR="00284605">
        <w:rPr>
          <w:rFonts w:cs="Arial"/>
          <w:szCs w:val="24"/>
        </w:rPr>
        <w:t xml:space="preserve">does not yet have a definitive treatment plan either because they </w:t>
      </w:r>
      <w:r w:rsidRPr="00284605">
        <w:rPr>
          <w:rFonts w:cs="Arial"/>
          <w:szCs w:val="24"/>
        </w:rPr>
        <w:t xml:space="preserve">are wanting to explore options more fully, or have </w:t>
      </w:r>
      <w:r w:rsidR="00284605">
        <w:rPr>
          <w:rFonts w:cs="Arial"/>
          <w:szCs w:val="24"/>
        </w:rPr>
        <w:t xml:space="preserve">related </w:t>
      </w:r>
      <w:r w:rsidRPr="00284605">
        <w:rPr>
          <w:rFonts w:cs="Arial"/>
          <w:szCs w:val="24"/>
        </w:rPr>
        <w:t xml:space="preserve">very complex or psychosocial issues that mean physical interventions are not yet appropriate, the process of transfer </w:t>
      </w:r>
      <w:r w:rsidR="007A02E8">
        <w:rPr>
          <w:rFonts w:cs="Arial"/>
          <w:szCs w:val="24"/>
        </w:rPr>
        <w:t xml:space="preserve">may be </w:t>
      </w:r>
      <w:r w:rsidRPr="007A02E8">
        <w:rPr>
          <w:rFonts w:cs="Arial"/>
          <w:szCs w:val="24"/>
        </w:rPr>
        <w:t xml:space="preserve">likely to take longer and will require ongoing collaboration and planning between the young person’s service and the adult service focused on the needs of the individual. The nature of the individualised plan will differ according to </w:t>
      </w:r>
      <w:proofErr w:type="gramStart"/>
      <w:r w:rsidRPr="007A02E8">
        <w:rPr>
          <w:rFonts w:cs="Arial"/>
          <w:szCs w:val="24"/>
        </w:rPr>
        <w:t>needs,</w:t>
      </w:r>
      <w:r w:rsidR="002D6839">
        <w:rPr>
          <w:rFonts w:cs="Arial"/>
          <w:szCs w:val="24"/>
        </w:rPr>
        <w:t xml:space="preserve"> </w:t>
      </w:r>
      <w:r w:rsidRPr="007A02E8">
        <w:rPr>
          <w:rFonts w:cs="Arial"/>
          <w:szCs w:val="24"/>
        </w:rPr>
        <w:t>but</w:t>
      </w:r>
      <w:proofErr w:type="gramEnd"/>
      <w:r w:rsidRPr="007A02E8">
        <w:rPr>
          <w:rFonts w:cs="Arial"/>
          <w:szCs w:val="24"/>
        </w:rPr>
        <w:t xml:space="preserve"> may necessitate a joint transition clinic in appropriate cases. </w:t>
      </w:r>
    </w:p>
    <w:p w14:paraId="5B3D8AAC" w14:textId="77777777" w:rsidR="00850926" w:rsidRPr="007A02E8" w:rsidRDefault="002D6839" w:rsidP="00180871">
      <w:pPr>
        <w:spacing w:after="120"/>
        <w:rPr>
          <w:rFonts w:cs="Arial"/>
          <w:b/>
          <w:szCs w:val="24"/>
        </w:rPr>
      </w:pPr>
      <w:r>
        <w:rPr>
          <w:rFonts w:cs="Arial"/>
          <w:szCs w:val="24"/>
        </w:rPr>
        <w:t xml:space="preserve">By the age of 18 years </w:t>
      </w:r>
      <w:r w:rsidR="00850926" w:rsidRPr="007A02E8">
        <w:rPr>
          <w:rFonts w:cs="Arial"/>
          <w:szCs w:val="24"/>
        </w:rPr>
        <w:t>the different outcomes may be:</w:t>
      </w:r>
    </w:p>
    <w:p w14:paraId="62FDDAE6" w14:textId="77777777" w:rsidR="00850926" w:rsidRPr="00284605" w:rsidRDefault="00850926" w:rsidP="00753AAE">
      <w:pPr>
        <w:numPr>
          <w:ilvl w:val="0"/>
          <w:numId w:val="8"/>
        </w:numPr>
        <w:spacing w:after="120"/>
        <w:rPr>
          <w:rFonts w:cs="Arial"/>
          <w:b/>
          <w:szCs w:val="24"/>
        </w:rPr>
      </w:pPr>
      <w:r w:rsidRPr="0017346A">
        <w:rPr>
          <w:rFonts w:cs="Arial"/>
          <w:szCs w:val="24"/>
        </w:rPr>
        <w:t xml:space="preserve">Where a diagnosis of gender dysphoria </w:t>
      </w:r>
      <w:proofErr w:type="gramStart"/>
      <w:r w:rsidRPr="0017346A">
        <w:rPr>
          <w:rFonts w:cs="Arial"/>
          <w:szCs w:val="24"/>
        </w:rPr>
        <w:t>as a consequence of</w:t>
      </w:r>
      <w:proofErr w:type="gramEnd"/>
      <w:r w:rsidRPr="0017346A">
        <w:rPr>
          <w:rFonts w:cs="Arial"/>
          <w:szCs w:val="24"/>
        </w:rPr>
        <w:t xml:space="preserve"> gender incongruence has been made, an agreed plan for transfer to adult gender </w:t>
      </w:r>
      <w:r w:rsidR="002D6839">
        <w:rPr>
          <w:rFonts w:cs="Arial"/>
          <w:szCs w:val="24"/>
        </w:rPr>
        <w:t>dysphoria</w:t>
      </w:r>
      <w:r w:rsidR="002D6839" w:rsidRPr="0017346A">
        <w:rPr>
          <w:rFonts w:cs="Arial"/>
          <w:szCs w:val="24"/>
        </w:rPr>
        <w:t xml:space="preserve"> </w:t>
      </w:r>
      <w:r w:rsidRPr="0017346A">
        <w:rPr>
          <w:rFonts w:cs="Arial"/>
          <w:szCs w:val="24"/>
        </w:rPr>
        <w:t>services</w:t>
      </w:r>
      <w:r w:rsidR="002D6839">
        <w:rPr>
          <w:rFonts w:cs="Arial"/>
          <w:szCs w:val="24"/>
        </w:rPr>
        <w:t xml:space="preserve"> has been achieved</w:t>
      </w:r>
      <w:r w:rsidRPr="0017346A">
        <w:rPr>
          <w:rFonts w:cs="Arial"/>
          <w:szCs w:val="24"/>
        </w:rPr>
        <w:t>; or</w:t>
      </w:r>
    </w:p>
    <w:p w14:paraId="3FC39168" w14:textId="77777777" w:rsidR="00850926" w:rsidRPr="00A61D17" w:rsidRDefault="00850926" w:rsidP="00753AAE">
      <w:pPr>
        <w:numPr>
          <w:ilvl w:val="0"/>
          <w:numId w:val="8"/>
        </w:numPr>
        <w:spacing w:after="120"/>
        <w:rPr>
          <w:rFonts w:cs="Arial"/>
          <w:b/>
          <w:szCs w:val="24"/>
        </w:rPr>
      </w:pPr>
      <w:r w:rsidRPr="00284605">
        <w:rPr>
          <w:rFonts w:cs="Arial"/>
          <w:szCs w:val="24"/>
        </w:rPr>
        <w:t xml:space="preserve">Where a diagnosis of gender dysphoria </w:t>
      </w:r>
      <w:proofErr w:type="gramStart"/>
      <w:r w:rsidRPr="00284605">
        <w:rPr>
          <w:rFonts w:cs="Arial"/>
          <w:szCs w:val="24"/>
        </w:rPr>
        <w:t>as a consequence of</w:t>
      </w:r>
      <w:proofErr w:type="gramEnd"/>
      <w:r w:rsidRPr="00284605">
        <w:rPr>
          <w:rFonts w:cs="Arial"/>
          <w:szCs w:val="24"/>
        </w:rPr>
        <w:t xml:space="preserve"> gender incongruence has not been made, a referral to an adult gender </w:t>
      </w:r>
      <w:r w:rsidR="002D6839">
        <w:rPr>
          <w:rFonts w:cs="Arial"/>
          <w:szCs w:val="24"/>
        </w:rPr>
        <w:t xml:space="preserve">dysphoria </w:t>
      </w:r>
      <w:r w:rsidRPr="00284605">
        <w:rPr>
          <w:rFonts w:cs="Arial"/>
          <w:szCs w:val="24"/>
        </w:rPr>
        <w:t>service for an assessment of diagnosis, or for access to specific time-limited psychological therapies; or</w:t>
      </w:r>
    </w:p>
    <w:p w14:paraId="4CAE132E" w14:textId="77777777" w:rsidR="00850926" w:rsidRPr="002D6839" w:rsidRDefault="00850926" w:rsidP="00753AAE">
      <w:pPr>
        <w:numPr>
          <w:ilvl w:val="0"/>
          <w:numId w:val="8"/>
        </w:numPr>
        <w:spacing w:after="120"/>
        <w:rPr>
          <w:rFonts w:cs="Arial"/>
          <w:b/>
          <w:szCs w:val="24"/>
        </w:rPr>
      </w:pPr>
      <w:r w:rsidRPr="002D6839">
        <w:rPr>
          <w:rFonts w:cs="Arial"/>
          <w:szCs w:val="24"/>
        </w:rPr>
        <w:lastRenderedPageBreak/>
        <w:t xml:space="preserve">Discharge from the young person’s service and no transfer or referral to adult gender </w:t>
      </w:r>
      <w:r w:rsidR="002D6839">
        <w:rPr>
          <w:rFonts w:cs="Arial"/>
          <w:szCs w:val="24"/>
        </w:rPr>
        <w:t xml:space="preserve">dysphoria </w:t>
      </w:r>
      <w:r w:rsidRPr="002D6839">
        <w:rPr>
          <w:rFonts w:cs="Arial"/>
          <w:szCs w:val="24"/>
        </w:rPr>
        <w:t>services</w:t>
      </w:r>
      <w:r w:rsidR="002D6839">
        <w:rPr>
          <w:rFonts w:cs="Arial"/>
          <w:szCs w:val="24"/>
        </w:rPr>
        <w:t xml:space="preserve"> when this is clinically appropriate</w:t>
      </w:r>
      <w:r w:rsidRPr="002D6839">
        <w:rPr>
          <w:rFonts w:cs="Arial"/>
          <w:szCs w:val="24"/>
        </w:rPr>
        <w:t>.</w:t>
      </w:r>
    </w:p>
    <w:p w14:paraId="4D22A1BA" w14:textId="77777777" w:rsidR="00850926" w:rsidRPr="00CB26F8" w:rsidRDefault="00850926" w:rsidP="00F14C7F">
      <w:pPr>
        <w:spacing w:after="120"/>
        <w:rPr>
          <w:rFonts w:cs="Arial"/>
          <w:b/>
          <w:szCs w:val="24"/>
        </w:rPr>
      </w:pPr>
    </w:p>
    <w:p w14:paraId="44A34A7D" w14:textId="77777777" w:rsidR="002D6839" w:rsidRDefault="002D6839" w:rsidP="001E5F6F">
      <w:pPr>
        <w:spacing w:after="120"/>
        <w:rPr>
          <w:rFonts w:cs="Arial"/>
          <w:szCs w:val="24"/>
        </w:rPr>
      </w:pPr>
    </w:p>
    <w:p w14:paraId="476D8928" w14:textId="77777777" w:rsidR="00541415" w:rsidRDefault="00541415" w:rsidP="001E5F6F">
      <w:pPr>
        <w:spacing w:after="120"/>
        <w:rPr>
          <w:rFonts w:cs="Arial"/>
          <w:b/>
          <w:szCs w:val="24"/>
        </w:rPr>
      </w:pPr>
    </w:p>
    <w:p w14:paraId="5033A503" w14:textId="77777777" w:rsidR="00541415" w:rsidRDefault="00541415" w:rsidP="001E5F6F">
      <w:pPr>
        <w:spacing w:after="120"/>
        <w:rPr>
          <w:rFonts w:cs="Arial"/>
          <w:b/>
          <w:szCs w:val="24"/>
        </w:rPr>
      </w:pPr>
    </w:p>
    <w:p w14:paraId="684E49FD" w14:textId="77777777" w:rsidR="00541415" w:rsidRDefault="00541415" w:rsidP="001E5F6F">
      <w:pPr>
        <w:spacing w:after="120"/>
        <w:rPr>
          <w:rFonts w:cs="Arial"/>
          <w:b/>
          <w:szCs w:val="24"/>
        </w:rPr>
      </w:pPr>
    </w:p>
    <w:p w14:paraId="1E797050" w14:textId="77777777" w:rsidR="00541415" w:rsidRDefault="00541415" w:rsidP="001E5F6F">
      <w:pPr>
        <w:spacing w:after="120"/>
        <w:rPr>
          <w:rFonts w:cs="Arial"/>
          <w:b/>
          <w:szCs w:val="24"/>
        </w:rPr>
      </w:pPr>
    </w:p>
    <w:p w14:paraId="33D67B24" w14:textId="77777777" w:rsidR="00541415" w:rsidRDefault="00541415" w:rsidP="001E5F6F">
      <w:pPr>
        <w:spacing w:after="120"/>
        <w:rPr>
          <w:rFonts w:cs="Arial"/>
          <w:b/>
          <w:szCs w:val="24"/>
        </w:rPr>
      </w:pPr>
    </w:p>
    <w:p w14:paraId="463ED1E5" w14:textId="77777777" w:rsidR="00541415" w:rsidRDefault="00541415" w:rsidP="001E5F6F">
      <w:pPr>
        <w:spacing w:after="120"/>
        <w:rPr>
          <w:rFonts w:cs="Arial"/>
          <w:b/>
          <w:szCs w:val="24"/>
        </w:rPr>
      </w:pPr>
    </w:p>
    <w:p w14:paraId="73071268" w14:textId="77777777" w:rsidR="00541415" w:rsidRDefault="00541415" w:rsidP="001E5F6F">
      <w:pPr>
        <w:spacing w:after="120"/>
        <w:rPr>
          <w:rFonts w:cs="Arial"/>
          <w:b/>
          <w:szCs w:val="24"/>
        </w:rPr>
      </w:pPr>
    </w:p>
    <w:p w14:paraId="715A2646" w14:textId="77777777" w:rsidR="00541415" w:rsidRDefault="00541415" w:rsidP="001E5F6F">
      <w:pPr>
        <w:spacing w:after="120"/>
        <w:rPr>
          <w:rFonts w:cs="Arial"/>
          <w:b/>
          <w:szCs w:val="24"/>
        </w:rPr>
      </w:pPr>
    </w:p>
    <w:p w14:paraId="2A7B4D6F" w14:textId="77777777" w:rsidR="00541415" w:rsidRDefault="00541415" w:rsidP="001E5F6F">
      <w:pPr>
        <w:spacing w:after="120"/>
        <w:rPr>
          <w:rFonts w:cs="Arial"/>
          <w:b/>
          <w:szCs w:val="24"/>
        </w:rPr>
      </w:pPr>
    </w:p>
    <w:p w14:paraId="5756547E" w14:textId="77777777" w:rsidR="00541415" w:rsidRDefault="00541415" w:rsidP="001E5F6F">
      <w:pPr>
        <w:spacing w:after="120"/>
        <w:rPr>
          <w:rFonts w:cs="Arial"/>
          <w:b/>
          <w:szCs w:val="24"/>
        </w:rPr>
      </w:pPr>
    </w:p>
    <w:p w14:paraId="25F45651" w14:textId="77777777" w:rsidR="00541415" w:rsidRDefault="00541415" w:rsidP="001E5F6F">
      <w:pPr>
        <w:spacing w:after="120"/>
        <w:rPr>
          <w:rFonts w:cs="Arial"/>
          <w:b/>
          <w:szCs w:val="24"/>
        </w:rPr>
      </w:pPr>
    </w:p>
    <w:p w14:paraId="29A03486" w14:textId="77777777" w:rsidR="00541415" w:rsidRDefault="00541415" w:rsidP="001E5F6F">
      <w:pPr>
        <w:spacing w:after="120"/>
        <w:rPr>
          <w:rFonts w:cs="Arial"/>
          <w:b/>
          <w:szCs w:val="24"/>
        </w:rPr>
      </w:pPr>
    </w:p>
    <w:p w14:paraId="020BBD05" w14:textId="77777777" w:rsidR="00541415" w:rsidRDefault="00541415" w:rsidP="001E5F6F">
      <w:pPr>
        <w:spacing w:after="120"/>
        <w:rPr>
          <w:rFonts w:cs="Arial"/>
          <w:b/>
          <w:szCs w:val="24"/>
        </w:rPr>
      </w:pPr>
    </w:p>
    <w:p w14:paraId="175F0F1C" w14:textId="77777777" w:rsidR="00541415" w:rsidRDefault="00541415" w:rsidP="001E5F6F">
      <w:pPr>
        <w:spacing w:after="120"/>
        <w:rPr>
          <w:rFonts w:cs="Arial"/>
          <w:b/>
          <w:szCs w:val="24"/>
        </w:rPr>
      </w:pPr>
    </w:p>
    <w:p w14:paraId="34D351AF" w14:textId="77777777" w:rsidR="00541415" w:rsidRDefault="00541415" w:rsidP="001E5F6F">
      <w:pPr>
        <w:spacing w:after="120"/>
        <w:rPr>
          <w:rFonts w:cs="Arial"/>
          <w:b/>
          <w:szCs w:val="24"/>
        </w:rPr>
      </w:pPr>
    </w:p>
    <w:p w14:paraId="29F16D02" w14:textId="77777777" w:rsidR="00541415" w:rsidRDefault="00541415" w:rsidP="001E5F6F">
      <w:pPr>
        <w:spacing w:after="120"/>
        <w:rPr>
          <w:rFonts w:cs="Arial"/>
          <w:b/>
          <w:szCs w:val="24"/>
        </w:rPr>
      </w:pPr>
    </w:p>
    <w:p w14:paraId="2DEFB5AD" w14:textId="77777777" w:rsidR="00541415" w:rsidRDefault="00541415" w:rsidP="001E5F6F">
      <w:pPr>
        <w:spacing w:after="120"/>
        <w:rPr>
          <w:rFonts w:cs="Arial"/>
          <w:b/>
          <w:szCs w:val="24"/>
        </w:rPr>
      </w:pPr>
    </w:p>
    <w:p w14:paraId="6019806B" w14:textId="77777777" w:rsidR="00541415" w:rsidRDefault="00541415" w:rsidP="001E5F6F">
      <w:pPr>
        <w:spacing w:after="120"/>
        <w:rPr>
          <w:rFonts w:cs="Arial"/>
          <w:b/>
          <w:szCs w:val="24"/>
        </w:rPr>
      </w:pPr>
    </w:p>
    <w:p w14:paraId="4D606927" w14:textId="77777777" w:rsidR="00541415" w:rsidRDefault="00541415" w:rsidP="001E5F6F">
      <w:pPr>
        <w:spacing w:after="120"/>
        <w:rPr>
          <w:rFonts w:cs="Arial"/>
          <w:b/>
          <w:szCs w:val="24"/>
        </w:rPr>
      </w:pPr>
    </w:p>
    <w:p w14:paraId="06AEE6AC" w14:textId="77777777" w:rsidR="00541415" w:rsidRDefault="00541415" w:rsidP="001E5F6F">
      <w:pPr>
        <w:spacing w:after="120"/>
        <w:rPr>
          <w:rFonts w:cs="Arial"/>
          <w:b/>
          <w:szCs w:val="24"/>
        </w:rPr>
      </w:pPr>
    </w:p>
    <w:p w14:paraId="7ED3FE5E" w14:textId="77777777" w:rsidR="00541415" w:rsidRDefault="00541415" w:rsidP="001E5F6F">
      <w:pPr>
        <w:spacing w:after="120"/>
        <w:rPr>
          <w:rFonts w:cs="Arial"/>
          <w:b/>
          <w:szCs w:val="24"/>
        </w:rPr>
      </w:pPr>
    </w:p>
    <w:p w14:paraId="25D24A98" w14:textId="77777777" w:rsidR="00541415" w:rsidRDefault="00541415" w:rsidP="001E5F6F">
      <w:pPr>
        <w:spacing w:after="120"/>
        <w:rPr>
          <w:rFonts w:cs="Arial"/>
          <w:b/>
          <w:szCs w:val="24"/>
        </w:rPr>
      </w:pPr>
    </w:p>
    <w:p w14:paraId="0F84792C" w14:textId="77777777" w:rsidR="00541415" w:rsidRDefault="00541415" w:rsidP="001E5F6F">
      <w:pPr>
        <w:spacing w:after="120"/>
        <w:rPr>
          <w:rFonts w:cs="Arial"/>
          <w:b/>
          <w:szCs w:val="24"/>
        </w:rPr>
      </w:pPr>
    </w:p>
    <w:p w14:paraId="68293931" w14:textId="77777777" w:rsidR="00541415" w:rsidRDefault="00541415" w:rsidP="001E5F6F">
      <w:pPr>
        <w:spacing w:after="120"/>
        <w:rPr>
          <w:rFonts w:cs="Arial"/>
          <w:b/>
          <w:szCs w:val="24"/>
        </w:rPr>
      </w:pPr>
    </w:p>
    <w:p w14:paraId="1083ED16" w14:textId="77777777" w:rsidR="00A32E63" w:rsidRDefault="00A32E63" w:rsidP="001E5F6F">
      <w:pPr>
        <w:spacing w:after="120"/>
        <w:rPr>
          <w:rFonts w:cs="Arial"/>
          <w:b/>
          <w:szCs w:val="24"/>
        </w:rPr>
      </w:pPr>
    </w:p>
    <w:p w14:paraId="302B2821" w14:textId="77777777" w:rsidR="00A32E63" w:rsidRDefault="00A32E63" w:rsidP="001E5F6F">
      <w:pPr>
        <w:spacing w:after="120"/>
        <w:rPr>
          <w:rFonts w:cs="Arial"/>
          <w:b/>
          <w:szCs w:val="24"/>
        </w:rPr>
      </w:pPr>
    </w:p>
    <w:p w14:paraId="02AF4A3E" w14:textId="77777777" w:rsidR="00A32E63" w:rsidRDefault="00A32E63" w:rsidP="001E5F6F">
      <w:pPr>
        <w:spacing w:after="120"/>
        <w:rPr>
          <w:rFonts w:cs="Arial"/>
          <w:b/>
          <w:szCs w:val="24"/>
        </w:rPr>
      </w:pPr>
    </w:p>
    <w:p w14:paraId="19BFCE3E" w14:textId="77777777" w:rsidR="00A32E63" w:rsidRDefault="00A32E63" w:rsidP="001E5F6F">
      <w:pPr>
        <w:spacing w:after="120"/>
        <w:rPr>
          <w:rFonts w:cs="Arial"/>
          <w:b/>
          <w:szCs w:val="24"/>
        </w:rPr>
      </w:pPr>
    </w:p>
    <w:p w14:paraId="6E57F052" w14:textId="77777777" w:rsidR="00C246E6" w:rsidRDefault="00C246E6" w:rsidP="001E5F6F">
      <w:pPr>
        <w:spacing w:after="120"/>
        <w:rPr>
          <w:rFonts w:cs="Arial"/>
          <w:b/>
          <w:szCs w:val="24"/>
        </w:rPr>
      </w:pPr>
    </w:p>
    <w:p w14:paraId="3EAB7BCA" w14:textId="77777777" w:rsidR="00C246E6" w:rsidRDefault="00C246E6" w:rsidP="001E5F6F">
      <w:pPr>
        <w:spacing w:after="120"/>
        <w:rPr>
          <w:rFonts w:cs="Arial"/>
          <w:b/>
          <w:szCs w:val="24"/>
        </w:rPr>
      </w:pPr>
    </w:p>
    <w:p w14:paraId="53B8D3EA" w14:textId="77777777" w:rsidR="00C246E6" w:rsidRDefault="00C246E6" w:rsidP="001E5F6F">
      <w:pPr>
        <w:spacing w:after="120"/>
        <w:rPr>
          <w:rFonts w:cs="Arial"/>
          <w:b/>
          <w:szCs w:val="24"/>
        </w:rPr>
      </w:pPr>
    </w:p>
    <w:p w14:paraId="74A6A88C" w14:textId="77777777" w:rsidR="001E5F6F" w:rsidRDefault="00F95783" w:rsidP="001E5F6F">
      <w:pPr>
        <w:spacing w:after="120"/>
        <w:rPr>
          <w:rFonts w:cs="Arial"/>
          <w:b/>
          <w:szCs w:val="24"/>
        </w:rPr>
      </w:pPr>
      <w:r w:rsidRPr="00F95783">
        <w:rPr>
          <w:rFonts w:cs="Arial"/>
          <w:b/>
          <w:szCs w:val="24"/>
        </w:rPr>
        <w:lastRenderedPageBreak/>
        <w:t>Appendix E: Assessment and Diagnosis</w:t>
      </w:r>
    </w:p>
    <w:p w14:paraId="389CFC52" w14:textId="77777777" w:rsidR="001E5F6F" w:rsidRDefault="00F95783" w:rsidP="001E5F6F">
      <w:pPr>
        <w:spacing w:after="120"/>
        <w:rPr>
          <w:rFonts w:cs="Arial"/>
          <w:b/>
          <w:szCs w:val="24"/>
        </w:rPr>
      </w:pPr>
      <w:r w:rsidRPr="00F95783">
        <w:rPr>
          <w:rFonts w:cs="Arial"/>
          <w:szCs w:val="24"/>
        </w:rPr>
        <w:t xml:space="preserve">The Provider will undertake a specialised assessment for people who may have gender dysphoria; agree with them the most appropriate diagnostic coding; and agree a treatment plan. If the diagnosis is that the individual does not have gender dysphoria </w:t>
      </w:r>
      <w:proofErr w:type="gramStart"/>
      <w:r w:rsidRPr="00F95783">
        <w:rPr>
          <w:rFonts w:cs="Arial"/>
          <w:szCs w:val="24"/>
        </w:rPr>
        <w:t>as a consequence of</w:t>
      </w:r>
      <w:proofErr w:type="gramEnd"/>
      <w:r w:rsidRPr="00F95783">
        <w:rPr>
          <w:rFonts w:cs="Arial"/>
          <w:szCs w:val="24"/>
        </w:rPr>
        <w:t xml:space="preserve"> gender incongruence, the Provider will advise the individual and referrer on alternative services that might meet the individual’s health and well-being needs.</w:t>
      </w:r>
    </w:p>
    <w:p w14:paraId="79889A32" w14:textId="77777777" w:rsidR="00F95783" w:rsidRPr="00F95783" w:rsidRDefault="00F95783" w:rsidP="001E5F6F">
      <w:pPr>
        <w:spacing w:after="120"/>
        <w:rPr>
          <w:rFonts w:cs="Arial"/>
          <w:b/>
          <w:szCs w:val="24"/>
        </w:rPr>
      </w:pPr>
      <w:r w:rsidRPr="00F95783">
        <w:rPr>
          <w:rFonts w:cs="Arial"/>
          <w:szCs w:val="24"/>
        </w:rPr>
        <w:t xml:space="preserve">The Provider will triage all new referrals, and assessments will be conducted according to individual need and circumstances. </w:t>
      </w:r>
      <w:proofErr w:type="gramStart"/>
      <w:r w:rsidRPr="00F95783">
        <w:rPr>
          <w:rFonts w:cs="Arial"/>
          <w:szCs w:val="24"/>
        </w:rPr>
        <w:t>The majority of</w:t>
      </w:r>
      <w:proofErr w:type="gramEnd"/>
      <w:r w:rsidRPr="00F95783">
        <w:rPr>
          <w:rFonts w:cs="Arial"/>
          <w:szCs w:val="24"/>
        </w:rPr>
        <w:t xml:space="preserve"> individuals will have two core assessment consultations; at least one of the consultations will be face-to-face. Baseline laboratory investigations and physical measurements (height; weight; blood pressure) may be requested during the assessment, if these are consistent with the individual’s treatment objectives.</w:t>
      </w:r>
    </w:p>
    <w:p w14:paraId="08906A27" w14:textId="77777777" w:rsidR="00F95783" w:rsidRPr="00F95783" w:rsidRDefault="00F95783" w:rsidP="00F95783">
      <w:pPr>
        <w:spacing w:after="120"/>
        <w:ind w:left="360"/>
        <w:rPr>
          <w:rFonts w:cs="Arial"/>
          <w:b/>
          <w:szCs w:val="24"/>
        </w:rPr>
      </w:pPr>
      <w:r w:rsidRPr="00F95783">
        <w:rPr>
          <w:rFonts w:cs="Arial"/>
          <w:i/>
          <w:szCs w:val="24"/>
        </w:rPr>
        <w:t>Initial assessment consultation</w:t>
      </w:r>
    </w:p>
    <w:p w14:paraId="2745028E" w14:textId="77777777" w:rsidR="00F95783" w:rsidRPr="00F95783" w:rsidRDefault="00F95783" w:rsidP="001E5F6F">
      <w:pPr>
        <w:spacing w:after="120"/>
        <w:rPr>
          <w:rFonts w:cs="Arial"/>
          <w:szCs w:val="24"/>
        </w:rPr>
      </w:pPr>
      <w:r w:rsidRPr="00F95783">
        <w:rPr>
          <w:rFonts w:cs="Arial"/>
          <w:szCs w:val="24"/>
        </w:rPr>
        <w:t>This consultation will be conducted by a regulated health professional (or by a supervised trainee). Information will be collected about: the individual’s objectives for their engagement with the service; their gender identity and expression (current and historic); and basic bio-psycho-social history.</w:t>
      </w:r>
    </w:p>
    <w:p w14:paraId="1D7FD7C2" w14:textId="77777777" w:rsidR="00F95783" w:rsidRPr="00F95783" w:rsidRDefault="00F95783" w:rsidP="00F95783">
      <w:pPr>
        <w:spacing w:after="120"/>
        <w:ind w:left="360"/>
        <w:rPr>
          <w:rFonts w:cs="Arial"/>
          <w:szCs w:val="24"/>
        </w:rPr>
      </w:pPr>
      <w:r w:rsidRPr="00F95783">
        <w:rPr>
          <w:rFonts w:cs="Arial"/>
          <w:i/>
          <w:szCs w:val="24"/>
        </w:rPr>
        <w:t>Diagnostic and treatment planning consultation</w:t>
      </w:r>
    </w:p>
    <w:p w14:paraId="4C84DC9B" w14:textId="77777777" w:rsidR="00F95783" w:rsidRPr="00F95783" w:rsidRDefault="00F95783" w:rsidP="001E5F6F">
      <w:pPr>
        <w:spacing w:after="120"/>
        <w:rPr>
          <w:rFonts w:cs="Arial"/>
          <w:b/>
          <w:szCs w:val="24"/>
        </w:rPr>
      </w:pPr>
      <w:r w:rsidRPr="00F95783">
        <w:rPr>
          <w:rFonts w:cs="Arial"/>
          <w:szCs w:val="24"/>
        </w:rPr>
        <w:t>This consultation will be conducted by a medical practitioner or clinical or counselling psychologist (or by a supervised trainee). Information from the referrer and the initial consultation, together with any investigation results, will be reviewed and further explored with the individual. Diagnostic coding will be discussed and agreed with the individual. The individual’s treatment goals will be discussed and agreed. A general assessment of capacity to consent to treatment will be made. A written treatment plan, with indicative timelines, will be discussed and agreed with the individual and shared with the GP and referrer. The treatment plan may recommend that the individual progress to a treatment process. Other outcomes may include a recommendation to the referrer or GP that the individual be referred to other services, or that a referral should be deferred to a later date because of other health or social issues that would prevent the individual from currently benefiting from the interventions offered by the specialised service network. All outcomes will be carefully explained to the individual.</w:t>
      </w:r>
    </w:p>
    <w:p w14:paraId="201009D1" w14:textId="77777777" w:rsidR="00F95783" w:rsidRPr="00F95783" w:rsidRDefault="00F95783" w:rsidP="00F95783">
      <w:pPr>
        <w:spacing w:after="120"/>
        <w:ind w:left="360"/>
        <w:rPr>
          <w:rFonts w:cs="Arial"/>
          <w:b/>
          <w:szCs w:val="24"/>
        </w:rPr>
      </w:pPr>
      <w:r w:rsidRPr="00F95783">
        <w:rPr>
          <w:rFonts w:cs="Arial"/>
          <w:i/>
          <w:szCs w:val="24"/>
        </w:rPr>
        <w:t>Additional assessment consultations</w:t>
      </w:r>
    </w:p>
    <w:p w14:paraId="225552CC" w14:textId="77777777" w:rsidR="00F95783" w:rsidRPr="00F95783" w:rsidRDefault="00F95783" w:rsidP="001E5F6F">
      <w:pPr>
        <w:spacing w:after="120"/>
        <w:rPr>
          <w:rFonts w:cs="Arial"/>
          <w:b/>
          <w:szCs w:val="24"/>
        </w:rPr>
      </w:pPr>
      <w:r w:rsidRPr="00F95783">
        <w:rPr>
          <w:rFonts w:cs="Arial"/>
          <w:szCs w:val="24"/>
        </w:rPr>
        <w:t>A minority of individuals have complex or additional needs such that more than two core assessment consultations may be appropriate. This may include people with co-existing complex physical or mental health problems, communication difficulties or learning difficulties. In these circumstances, the clinician must explain to the individual the reason for the proposed additional consultations. The incidence of extended consultations will be compared between providers, to identify un-warranted variation in clinical practice.</w:t>
      </w:r>
    </w:p>
    <w:p w14:paraId="3E56149B" w14:textId="77777777" w:rsidR="00F95783" w:rsidRPr="00F95783" w:rsidRDefault="00F95783" w:rsidP="00F95783">
      <w:pPr>
        <w:spacing w:after="120"/>
        <w:ind w:left="360"/>
        <w:rPr>
          <w:rFonts w:cs="Arial"/>
          <w:b/>
          <w:szCs w:val="24"/>
        </w:rPr>
      </w:pPr>
      <w:r w:rsidRPr="00F95783">
        <w:rPr>
          <w:rFonts w:cs="Arial"/>
          <w:i/>
          <w:szCs w:val="24"/>
        </w:rPr>
        <w:t>Family members</w:t>
      </w:r>
    </w:p>
    <w:p w14:paraId="07615681" w14:textId="77777777" w:rsidR="00F95783" w:rsidRPr="00F95783" w:rsidRDefault="00F95783" w:rsidP="001E5F6F">
      <w:pPr>
        <w:spacing w:after="120"/>
        <w:rPr>
          <w:rFonts w:cs="Arial"/>
          <w:b/>
          <w:szCs w:val="24"/>
        </w:rPr>
      </w:pPr>
      <w:r w:rsidRPr="00F95783">
        <w:rPr>
          <w:rFonts w:cs="Arial"/>
          <w:szCs w:val="24"/>
        </w:rPr>
        <w:t xml:space="preserve">The Provider must not insist that the individual gives permission for family members or other people to attend appointments jointly with the individual. If a clinician advises the individual that it would be beneficial for a family member or other person to jointly attend an appointment, the reasoning must be explained to the individual, </w:t>
      </w:r>
      <w:r w:rsidRPr="00F95783">
        <w:rPr>
          <w:rFonts w:cs="Arial"/>
          <w:szCs w:val="24"/>
        </w:rPr>
        <w:lastRenderedPageBreak/>
        <w:t>and reassurance given that a refusal to give permission will not prejudice the individual's assessment or ongoing treatment.</w:t>
      </w:r>
    </w:p>
    <w:p w14:paraId="3C403E52" w14:textId="77777777" w:rsidR="00F95783" w:rsidRPr="007D72B6" w:rsidRDefault="00F95783" w:rsidP="00F95783">
      <w:pPr>
        <w:spacing w:after="120"/>
        <w:ind w:left="360"/>
        <w:rPr>
          <w:rFonts w:cs="Arial"/>
          <w:b/>
          <w:szCs w:val="24"/>
        </w:rPr>
      </w:pPr>
      <w:r w:rsidRPr="000559EC">
        <w:rPr>
          <w:rFonts w:cs="Arial"/>
          <w:i/>
          <w:szCs w:val="24"/>
        </w:rPr>
        <w:t>Assessment of patients who have been granted a Gender Recognition Certificate</w:t>
      </w:r>
    </w:p>
    <w:p w14:paraId="07A3B71E" w14:textId="77777777" w:rsidR="00F95783" w:rsidRPr="00A563E7" w:rsidRDefault="00F95783" w:rsidP="001E5F6F">
      <w:pPr>
        <w:spacing w:after="120"/>
        <w:rPr>
          <w:rFonts w:cs="Arial"/>
          <w:szCs w:val="24"/>
        </w:rPr>
      </w:pPr>
      <w:r w:rsidRPr="00ED694C">
        <w:rPr>
          <w:rFonts w:cs="Arial"/>
          <w:szCs w:val="24"/>
        </w:rPr>
        <w:t xml:space="preserve">The Gender </w:t>
      </w:r>
      <w:r w:rsidRPr="009D372F">
        <w:rPr>
          <w:rFonts w:cs="Arial"/>
          <w:szCs w:val="24"/>
        </w:rPr>
        <w:t>Recognition Act 2004 enables a trans-person to apply to the Gender Recognition Panel to receive a Gender Recognition Certificate. Individuals who are granted a full Gender Recognition Certificate are considered in the eyes of the law to be of their acquire</w:t>
      </w:r>
      <w:r w:rsidR="00541415">
        <w:rPr>
          <w:rFonts w:cs="Arial"/>
          <w:szCs w:val="24"/>
        </w:rPr>
        <w:t xml:space="preserve">d gender and they are </w:t>
      </w:r>
      <w:r w:rsidRPr="00A563E7">
        <w:rPr>
          <w:rFonts w:cs="Arial"/>
          <w:szCs w:val="24"/>
        </w:rPr>
        <w:t>entitled to all the rights appropriate to a person of their acquired gender.</w:t>
      </w:r>
    </w:p>
    <w:p w14:paraId="2EB4BFE2" w14:textId="77777777" w:rsidR="00F95783" w:rsidRPr="00A563E7" w:rsidRDefault="00F95783" w:rsidP="001E5F6F">
      <w:pPr>
        <w:spacing w:after="120"/>
        <w:rPr>
          <w:rFonts w:cs="Arial"/>
          <w:szCs w:val="24"/>
        </w:rPr>
      </w:pPr>
      <w:r w:rsidRPr="00A563E7">
        <w:rPr>
          <w:rFonts w:cs="Arial"/>
          <w:szCs w:val="24"/>
        </w:rPr>
        <w:t>An individual with a Gender Recognition Certificate will already have obtained a clinical diagnosis of gender dysphoria (as that is a requirement for the granting of a Gender Recognition Certificate). As such, the assessment and diagnosis element of the individual’s contact with the Provider will be adjusted to reflect the existing diagnosis of gender dysphoria.</w:t>
      </w:r>
    </w:p>
    <w:p w14:paraId="67320D9A" w14:textId="77777777" w:rsidR="00F95783" w:rsidRPr="00715CAD" w:rsidRDefault="00F95783" w:rsidP="001E5F6F">
      <w:pPr>
        <w:spacing w:after="120"/>
        <w:rPr>
          <w:rFonts w:cs="Arial"/>
          <w:szCs w:val="24"/>
        </w:rPr>
      </w:pPr>
      <w:r w:rsidRPr="00A563E7">
        <w:rPr>
          <w:rFonts w:cs="Arial"/>
          <w:szCs w:val="24"/>
        </w:rPr>
        <w:t xml:space="preserve">Possession of a Gender Recognition Certificate </w:t>
      </w:r>
      <w:r w:rsidRPr="004D2EBB">
        <w:rPr>
          <w:rFonts w:cs="Arial"/>
          <w:szCs w:val="24"/>
        </w:rPr>
        <w:t>does not in itself provide the multi-disciplinary team with the clinic</w:t>
      </w:r>
      <w:r w:rsidRPr="00DF5160">
        <w:rPr>
          <w:rFonts w:cs="Arial"/>
          <w:szCs w:val="24"/>
        </w:rPr>
        <w:t>al information that is necessary to assess an individual’s suitability and readiness for the medical and other health interventions that are available along the NHS pathway of care. As such, individuals with a Gender Recognition Certificate will be assesse</w:t>
      </w:r>
      <w:r w:rsidRPr="004951FD">
        <w:rPr>
          <w:rFonts w:cs="Arial"/>
          <w:szCs w:val="24"/>
        </w:rPr>
        <w:t>d for readiness of interventions, including surgical inter</w:t>
      </w:r>
      <w:r w:rsidRPr="00715CAD">
        <w:rPr>
          <w:rFonts w:cs="Arial"/>
          <w:szCs w:val="24"/>
        </w:rPr>
        <w:t>ventions, as otherwise described in this service specification and will include the individual’s:</w:t>
      </w:r>
    </w:p>
    <w:p w14:paraId="0640B83F" w14:textId="77777777" w:rsidR="00F95783" w:rsidRPr="007A02E8" w:rsidRDefault="00F95783" w:rsidP="00753AAE">
      <w:pPr>
        <w:numPr>
          <w:ilvl w:val="0"/>
          <w:numId w:val="15"/>
        </w:numPr>
        <w:spacing w:after="120"/>
        <w:rPr>
          <w:rFonts w:cs="Arial"/>
          <w:szCs w:val="24"/>
        </w:rPr>
      </w:pPr>
      <w:r w:rsidRPr="007A02E8">
        <w:rPr>
          <w:rFonts w:cs="Arial"/>
          <w:szCs w:val="24"/>
        </w:rPr>
        <w:t>Expectations of the interventions and how they will impact upon them socially and psychologically</w:t>
      </w:r>
    </w:p>
    <w:p w14:paraId="7BE9008E" w14:textId="77777777" w:rsidR="00F95783" w:rsidRPr="00284605" w:rsidRDefault="00F95783" w:rsidP="00753AAE">
      <w:pPr>
        <w:numPr>
          <w:ilvl w:val="0"/>
          <w:numId w:val="9"/>
        </w:numPr>
        <w:spacing w:after="120"/>
        <w:rPr>
          <w:rFonts w:cs="Arial"/>
          <w:b/>
          <w:szCs w:val="24"/>
        </w:rPr>
      </w:pPr>
      <w:r w:rsidRPr="0017346A">
        <w:rPr>
          <w:rFonts w:cs="Arial"/>
          <w:szCs w:val="24"/>
        </w:rPr>
        <w:t>Health history</w:t>
      </w:r>
    </w:p>
    <w:p w14:paraId="34C74637" w14:textId="77777777" w:rsidR="00F95783" w:rsidRPr="00FE0B7F" w:rsidRDefault="00F95783" w:rsidP="00753AAE">
      <w:pPr>
        <w:numPr>
          <w:ilvl w:val="0"/>
          <w:numId w:val="9"/>
        </w:numPr>
        <w:spacing w:after="120"/>
        <w:rPr>
          <w:rFonts w:cs="Arial"/>
          <w:b/>
          <w:szCs w:val="24"/>
        </w:rPr>
      </w:pPr>
      <w:r w:rsidRPr="00A61D17">
        <w:rPr>
          <w:rFonts w:cs="Arial"/>
          <w:szCs w:val="24"/>
        </w:rPr>
        <w:t>Understanding</w:t>
      </w:r>
      <w:r w:rsidRPr="002D6839">
        <w:rPr>
          <w:rFonts w:cs="Arial"/>
          <w:szCs w:val="24"/>
        </w:rPr>
        <w:t xml:space="preserve"> of the interventions and their potential benefits, risks and limitations</w:t>
      </w:r>
    </w:p>
    <w:p w14:paraId="5BDD84EB" w14:textId="77777777" w:rsidR="00F95783" w:rsidRPr="00541415" w:rsidRDefault="00F95783" w:rsidP="00753AAE">
      <w:pPr>
        <w:numPr>
          <w:ilvl w:val="0"/>
          <w:numId w:val="9"/>
        </w:numPr>
        <w:spacing w:after="120"/>
        <w:rPr>
          <w:rFonts w:cs="Arial"/>
          <w:b/>
          <w:szCs w:val="24"/>
        </w:rPr>
      </w:pPr>
      <w:r w:rsidRPr="00FE0B7F">
        <w:rPr>
          <w:rFonts w:cs="Arial"/>
          <w:szCs w:val="24"/>
        </w:rPr>
        <w:t>Support network and strategies for thriving after the intervention</w:t>
      </w:r>
    </w:p>
    <w:p w14:paraId="5C411C83" w14:textId="77777777" w:rsidR="00F95783" w:rsidRPr="006118C1" w:rsidRDefault="00F95783" w:rsidP="00753AAE">
      <w:pPr>
        <w:numPr>
          <w:ilvl w:val="0"/>
          <w:numId w:val="9"/>
        </w:numPr>
        <w:spacing w:after="120"/>
        <w:rPr>
          <w:rFonts w:cs="Arial"/>
          <w:b/>
          <w:szCs w:val="24"/>
        </w:rPr>
      </w:pPr>
      <w:r w:rsidRPr="00BE2058">
        <w:rPr>
          <w:rFonts w:cs="Arial"/>
          <w:szCs w:val="24"/>
        </w:rPr>
        <w:t>Plans for preparation and aftercare following intervention</w:t>
      </w:r>
    </w:p>
    <w:p w14:paraId="48EFB212" w14:textId="77777777" w:rsidR="00180871" w:rsidRPr="00CB26F8" w:rsidRDefault="00180871" w:rsidP="00F14C7F">
      <w:pPr>
        <w:spacing w:after="120"/>
        <w:rPr>
          <w:rFonts w:cs="Arial"/>
          <w:b/>
          <w:szCs w:val="24"/>
          <w:u w:val="single"/>
        </w:rPr>
      </w:pPr>
    </w:p>
    <w:p w14:paraId="2E8F2645" w14:textId="77777777" w:rsidR="00954E07" w:rsidRDefault="00954E07" w:rsidP="00F14C7F">
      <w:pPr>
        <w:spacing w:after="120"/>
        <w:rPr>
          <w:rFonts w:cs="Arial"/>
          <w:b/>
          <w:szCs w:val="24"/>
        </w:rPr>
      </w:pPr>
    </w:p>
    <w:p w14:paraId="44BBF4B7" w14:textId="77777777" w:rsidR="00954E07" w:rsidRDefault="00954E07" w:rsidP="00F14C7F">
      <w:pPr>
        <w:spacing w:after="120"/>
        <w:rPr>
          <w:rFonts w:cs="Arial"/>
          <w:b/>
          <w:szCs w:val="24"/>
        </w:rPr>
      </w:pPr>
    </w:p>
    <w:p w14:paraId="79A7ED8A" w14:textId="77777777" w:rsidR="00A32E63" w:rsidRDefault="00A32E63" w:rsidP="00F14C7F">
      <w:pPr>
        <w:spacing w:after="120"/>
        <w:rPr>
          <w:rFonts w:cs="Arial"/>
          <w:b/>
          <w:szCs w:val="24"/>
        </w:rPr>
      </w:pPr>
    </w:p>
    <w:p w14:paraId="3A50B7E7" w14:textId="77777777" w:rsidR="00954E07" w:rsidRDefault="00954E07" w:rsidP="00F14C7F">
      <w:pPr>
        <w:spacing w:after="120"/>
        <w:rPr>
          <w:rFonts w:cs="Arial"/>
          <w:b/>
          <w:szCs w:val="24"/>
        </w:rPr>
      </w:pPr>
    </w:p>
    <w:p w14:paraId="45ABDAA1" w14:textId="77777777" w:rsidR="001E5F6F" w:rsidRDefault="001E5F6F" w:rsidP="00F14C7F">
      <w:pPr>
        <w:spacing w:after="120"/>
        <w:rPr>
          <w:rFonts w:cs="Arial"/>
          <w:b/>
          <w:szCs w:val="24"/>
        </w:rPr>
      </w:pPr>
    </w:p>
    <w:p w14:paraId="6CEF37CA" w14:textId="77777777" w:rsidR="00A32E63" w:rsidRDefault="00A32E63" w:rsidP="001E5F6F">
      <w:pPr>
        <w:spacing w:after="120"/>
        <w:rPr>
          <w:rFonts w:cs="Arial"/>
          <w:b/>
          <w:szCs w:val="24"/>
        </w:rPr>
      </w:pPr>
    </w:p>
    <w:p w14:paraId="303C3067" w14:textId="77777777" w:rsidR="00A32E63" w:rsidRDefault="00A32E63" w:rsidP="001E5F6F">
      <w:pPr>
        <w:spacing w:after="120"/>
        <w:rPr>
          <w:rFonts w:cs="Arial"/>
          <w:b/>
          <w:szCs w:val="24"/>
        </w:rPr>
      </w:pPr>
    </w:p>
    <w:p w14:paraId="1019A82D" w14:textId="77777777" w:rsidR="00A32E63" w:rsidRDefault="00A32E63" w:rsidP="001E5F6F">
      <w:pPr>
        <w:spacing w:after="120"/>
        <w:rPr>
          <w:rFonts w:cs="Arial"/>
          <w:b/>
          <w:szCs w:val="24"/>
        </w:rPr>
      </w:pPr>
    </w:p>
    <w:p w14:paraId="43558823" w14:textId="77777777" w:rsidR="00A32E63" w:rsidRDefault="00A32E63" w:rsidP="001E5F6F">
      <w:pPr>
        <w:spacing w:after="120"/>
        <w:rPr>
          <w:rFonts w:cs="Arial"/>
          <w:b/>
          <w:szCs w:val="24"/>
        </w:rPr>
      </w:pPr>
    </w:p>
    <w:p w14:paraId="43546CA0" w14:textId="77777777" w:rsidR="00A32E63" w:rsidRDefault="00A32E63" w:rsidP="001E5F6F">
      <w:pPr>
        <w:spacing w:after="120"/>
        <w:rPr>
          <w:rFonts w:cs="Arial"/>
          <w:b/>
          <w:szCs w:val="24"/>
        </w:rPr>
      </w:pPr>
    </w:p>
    <w:p w14:paraId="18D7FBA9" w14:textId="77777777" w:rsidR="00A32E63" w:rsidRDefault="00A32E63" w:rsidP="001E5F6F">
      <w:pPr>
        <w:spacing w:after="120"/>
        <w:rPr>
          <w:rFonts w:cs="Arial"/>
          <w:b/>
          <w:szCs w:val="24"/>
        </w:rPr>
      </w:pPr>
    </w:p>
    <w:p w14:paraId="30DE4B73" w14:textId="77777777" w:rsidR="00286B48" w:rsidRDefault="00286B48" w:rsidP="001E5F6F">
      <w:pPr>
        <w:spacing w:after="120"/>
        <w:rPr>
          <w:rFonts w:cs="Arial"/>
          <w:b/>
          <w:szCs w:val="24"/>
        </w:rPr>
      </w:pPr>
    </w:p>
    <w:p w14:paraId="5B015870" w14:textId="77777777" w:rsidR="0076138F" w:rsidRPr="00CB26F8" w:rsidRDefault="00954E07" w:rsidP="001E5F6F">
      <w:pPr>
        <w:spacing w:after="120"/>
        <w:rPr>
          <w:rFonts w:cs="Arial"/>
          <w:b/>
          <w:szCs w:val="24"/>
        </w:rPr>
      </w:pPr>
      <w:r>
        <w:rPr>
          <w:rFonts w:cs="Arial"/>
          <w:b/>
          <w:szCs w:val="24"/>
        </w:rPr>
        <w:lastRenderedPageBreak/>
        <w:t>Appendix F</w:t>
      </w:r>
      <w:r w:rsidR="0076138F" w:rsidRPr="00CB26F8">
        <w:rPr>
          <w:rFonts w:cs="Arial"/>
          <w:b/>
          <w:szCs w:val="24"/>
        </w:rPr>
        <w:t>: Physical examination</w:t>
      </w:r>
    </w:p>
    <w:p w14:paraId="5DAA9C79" w14:textId="77777777" w:rsidR="00180871" w:rsidRPr="00CB26F8" w:rsidRDefault="0076138F" w:rsidP="00F14C7F">
      <w:pPr>
        <w:spacing w:after="120"/>
        <w:rPr>
          <w:rFonts w:cs="Arial"/>
          <w:b/>
          <w:szCs w:val="24"/>
        </w:rPr>
      </w:pPr>
      <w:r w:rsidRPr="00CB26F8">
        <w:rPr>
          <w:rFonts w:cs="Arial"/>
          <w:szCs w:val="24"/>
        </w:rPr>
        <w:t xml:space="preserve">Physical examination, other than the measurement of height, weight and blood pressure, must not be performed routinely during the assessment process.  Examination of genitalia and chest is not a routine part of the assessment process.  Physical examination may be recommended by the clinical team only if the individual’s clinical history suggests that physical examination is likely to result in important benefit to the individual, or is likely to reduce an important risk of </w:t>
      </w:r>
      <w:proofErr w:type="gramStart"/>
      <w:r w:rsidRPr="00CB26F8">
        <w:rPr>
          <w:rFonts w:cs="Arial"/>
          <w:szCs w:val="24"/>
        </w:rPr>
        <w:t>harm;</w:t>
      </w:r>
      <w:proofErr w:type="gramEnd"/>
      <w:r w:rsidRPr="00CB26F8">
        <w:rPr>
          <w:rFonts w:cs="Arial"/>
          <w:szCs w:val="24"/>
        </w:rPr>
        <w:t xml:space="preserve"> or as a response to a specific request by the individual. Individuals must be told that they have the right to refuse physical </w:t>
      </w:r>
      <w:proofErr w:type="gramStart"/>
      <w:r w:rsidRPr="00CB26F8">
        <w:rPr>
          <w:rFonts w:cs="Arial"/>
          <w:szCs w:val="24"/>
        </w:rPr>
        <w:t>examination</w:t>
      </w:r>
      <w:proofErr w:type="gramEnd"/>
      <w:r w:rsidRPr="00CB26F8">
        <w:rPr>
          <w:rFonts w:cs="Arial"/>
          <w:szCs w:val="24"/>
        </w:rPr>
        <w:t xml:space="preserve"> and that refusal will not affect their care with the Provider, unless omission of examination is likely to significantly compromise their safety. In rare circumstances, a refusal of examination (by any medical practitioner in any setting) may increase the </w:t>
      </w:r>
      <w:proofErr w:type="gramStart"/>
      <w:r w:rsidRPr="00CB26F8">
        <w:rPr>
          <w:rFonts w:cs="Arial"/>
          <w:szCs w:val="24"/>
        </w:rPr>
        <w:t>clinically-relevant</w:t>
      </w:r>
      <w:proofErr w:type="gramEnd"/>
      <w:r w:rsidRPr="00CB26F8">
        <w:rPr>
          <w:rFonts w:cs="Arial"/>
          <w:szCs w:val="24"/>
        </w:rPr>
        <w:t xml:space="preserve"> risk associated with medical and surgical interventions, to such a degree that it would be unethical to proceed with those interventions.</w:t>
      </w:r>
    </w:p>
    <w:p w14:paraId="7541BB59" w14:textId="77777777" w:rsidR="00180871" w:rsidRPr="00CB26F8" w:rsidRDefault="0076138F" w:rsidP="00F14C7F">
      <w:pPr>
        <w:spacing w:after="120"/>
        <w:rPr>
          <w:rFonts w:cs="Arial"/>
          <w:b/>
          <w:szCs w:val="24"/>
        </w:rPr>
      </w:pPr>
      <w:r w:rsidRPr="00CB26F8">
        <w:rPr>
          <w:rFonts w:cs="Arial"/>
          <w:szCs w:val="24"/>
        </w:rPr>
        <w:t xml:space="preserve">The individual’s views will be sought </w:t>
      </w:r>
      <w:proofErr w:type="gramStart"/>
      <w:r w:rsidRPr="00CB26F8">
        <w:rPr>
          <w:rFonts w:cs="Arial"/>
          <w:szCs w:val="24"/>
        </w:rPr>
        <w:t>with regard to</w:t>
      </w:r>
      <w:proofErr w:type="gramEnd"/>
      <w:r w:rsidRPr="00CB26F8">
        <w:rPr>
          <w:rFonts w:cs="Arial"/>
          <w:szCs w:val="24"/>
        </w:rPr>
        <w:t xml:space="preserve"> who shall examine them, which may include the GP, and providers will endeavour to fulfil their wishes with regard to the gender of the examining medical practitioner. Physical examination must not be performed by the medical practitioner involved in the patient’s assessment process.</w:t>
      </w:r>
    </w:p>
    <w:p w14:paraId="75BD4D06" w14:textId="77777777" w:rsidR="0076138F" w:rsidRPr="00CB26F8" w:rsidRDefault="0076138F" w:rsidP="00F14C7F">
      <w:pPr>
        <w:spacing w:after="120"/>
        <w:rPr>
          <w:rFonts w:cs="Arial"/>
          <w:b/>
          <w:szCs w:val="24"/>
        </w:rPr>
      </w:pPr>
      <w:r w:rsidRPr="00CB26F8">
        <w:rPr>
          <w:rFonts w:cs="Arial"/>
          <w:szCs w:val="24"/>
        </w:rPr>
        <w:t>The examining medical practitioner must:</w:t>
      </w:r>
    </w:p>
    <w:p w14:paraId="7A40DD95" w14:textId="77777777" w:rsidR="0076138F" w:rsidRPr="00CB26F8" w:rsidRDefault="0076138F" w:rsidP="00753AAE">
      <w:pPr>
        <w:numPr>
          <w:ilvl w:val="0"/>
          <w:numId w:val="10"/>
        </w:numPr>
        <w:spacing w:after="120"/>
        <w:rPr>
          <w:rFonts w:cs="Arial"/>
          <w:b/>
          <w:szCs w:val="24"/>
        </w:rPr>
      </w:pPr>
      <w:r w:rsidRPr="00CB26F8">
        <w:rPr>
          <w:rFonts w:cs="Arial"/>
          <w:szCs w:val="24"/>
        </w:rPr>
        <w:t>Explain in advance what the examination involves, what information it is intended to yield, and why it is clinically justified</w:t>
      </w:r>
    </w:p>
    <w:p w14:paraId="25818774" w14:textId="77777777" w:rsidR="0076138F" w:rsidRPr="00CB26F8" w:rsidRDefault="0076138F" w:rsidP="00753AAE">
      <w:pPr>
        <w:numPr>
          <w:ilvl w:val="0"/>
          <w:numId w:val="10"/>
        </w:numPr>
        <w:spacing w:after="120"/>
        <w:rPr>
          <w:rFonts w:cs="Arial"/>
          <w:b/>
          <w:szCs w:val="24"/>
        </w:rPr>
      </w:pPr>
      <w:r w:rsidRPr="00CB26F8">
        <w:rPr>
          <w:rFonts w:cs="Arial"/>
          <w:szCs w:val="24"/>
        </w:rPr>
        <w:t>Ensure the examination is held in private, in a secure, quiet and calm environment</w:t>
      </w:r>
    </w:p>
    <w:p w14:paraId="75363D63" w14:textId="77777777" w:rsidR="0076138F" w:rsidRPr="00CB26F8" w:rsidRDefault="0076138F" w:rsidP="00753AAE">
      <w:pPr>
        <w:numPr>
          <w:ilvl w:val="0"/>
          <w:numId w:val="10"/>
        </w:numPr>
        <w:spacing w:after="120"/>
        <w:rPr>
          <w:rFonts w:cs="Arial"/>
          <w:b/>
          <w:szCs w:val="24"/>
        </w:rPr>
      </w:pPr>
      <w:r w:rsidRPr="00CB26F8">
        <w:rPr>
          <w:rFonts w:cs="Arial"/>
          <w:szCs w:val="24"/>
        </w:rPr>
        <w:t>Always offer a chaperone (this must be documented in the individual’s notes, as must an individual’s choice to decline having a chaperone present)</w:t>
      </w:r>
    </w:p>
    <w:p w14:paraId="3CDDED69" w14:textId="77777777" w:rsidR="0076138F" w:rsidRPr="00CB26F8" w:rsidRDefault="0076138F" w:rsidP="00753AAE">
      <w:pPr>
        <w:numPr>
          <w:ilvl w:val="0"/>
          <w:numId w:val="10"/>
        </w:numPr>
        <w:spacing w:after="120"/>
        <w:rPr>
          <w:rFonts w:cs="Arial"/>
          <w:b/>
          <w:szCs w:val="24"/>
        </w:rPr>
      </w:pPr>
      <w:r w:rsidRPr="00CB26F8">
        <w:rPr>
          <w:rFonts w:cs="Arial"/>
          <w:szCs w:val="24"/>
        </w:rPr>
        <w:t>Ask the individual’s preferred terms for parts of the body</w:t>
      </w:r>
    </w:p>
    <w:p w14:paraId="28E9A518" w14:textId="77777777" w:rsidR="0076138F" w:rsidRPr="00CB26F8" w:rsidRDefault="0076138F" w:rsidP="00753AAE">
      <w:pPr>
        <w:numPr>
          <w:ilvl w:val="0"/>
          <w:numId w:val="10"/>
        </w:numPr>
        <w:spacing w:after="120"/>
        <w:rPr>
          <w:rFonts w:cs="Arial"/>
          <w:b/>
          <w:szCs w:val="24"/>
        </w:rPr>
      </w:pPr>
      <w:r w:rsidRPr="00CB26F8">
        <w:rPr>
          <w:rFonts w:cs="Arial"/>
          <w:szCs w:val="24"/>
        </w:rPr>
        <w:t>Defer examination to a later visit, allowing the individual to build a trusting relationship with the medical practitioner</w:t>
      </w:r>
    </w:p>
    <w:p w14:paraId="266F5C4B" w14:textId="77777777" w:rsidR="0076138F" w:rsidRPr="00CB26F8" w:rsidRDefault="0076138F" w:rsidP="00F14C7F">
      <w:pPr>
        <w:spacing w:after="120"/>
        <w:rPr>
          <w:rFonts w:eastAsia="Calibri" w:cs="Arial"/>
          <w:bCs w:val="0"/>
          <w:i/>
          <w:szCs w:val="24"/>
        </w:rPr>
      </w:pPr>
      <w:r w:rsidRPr="00CB26F8">
        <w:rPr>
          <w:rFonts w:eastAsia="Calibri" w:cs="Arial"/>
          <w:bCs w:val="0"/>
          <w:i/>
          <w:szCs w:val="24"/>
        </w:rPr>
        <w:t xml:space="preserve">Chaperones for physical examination </w:t>
      </w:r>
      <w:r w:rsidRPr="00CB26F8">
        <w:rPr>
          <w:rFonts w:eastAsia="Calibri" w:cs="Arial"/>
          <w:bCs w:val="0"/>
          <w:i/>
          <w:szCs w:val="24"/>
          <w:vertAlign w:val="superscript"/>
        </w:rPr>
        <w:footnoteReference w:id="5"/>
      </w:r>
    </w:p>
    <w:p w14:paraId="1934632B" w14:textId="77777777" w:rsidR="0076138F" w:rsidRPr="00CB26F8" w:rsidRDefault="0076138F" w:rsidP="00F14C7F">
      <w:pPr>
        <w:spacing w:after="120"/>
        <w:rPr>
          <w:rFonts w:eastAsia="Calibri" w:cs="Arial"/>
          <w:bCs w:val="0"/>
          <w:szCs w:val="24"/>
        </w:rPr>
      </w:pPr>
      <w:r w:rsidRPr="00CB26F8">
        <w:rPr>
          <w:rFonts w:eastAsia="Calibri" w:cs="Arial"/>
          <w:bCs w:val="0"/>
          <w:szCs w:val="24"/>
        </w:rPr>
        <w:t xml:space="preserve">A chaperone should usually be a health </w:t>
      </w:r>
      <w:proofErr w:type="gramStart"/>
      <w:r w:rsidRPr="00CB26F8">
        <w:rPr>
          <w:rFonts w:eastAsia="Calibri" w:cs="Arial"/>
          <w:bCs w:val="0"/>
          <w:szCs w:val="24"/>
        </w:rPr>
        <w:t>professional</w:t>
      </w:r>
      <w:proofErr w:type="gramEnd"/>
      <w:r w:rsidRPr="00CB26F8">
        <w:rPr>
          <w:rFonts w:eastAsia="Calibri" w:cs="Arial"/>
          <w:bCs w:val="0"/>
          <w:szCs w:val="24"/>
        </w:rPr>
        <w:t xml:space="preserve"> and the examining medical practitioner must be satisfied that the chaperone will:</w:t>
      </w:r>
    </w:p>
    <w:p w14:paraId="09CD2BC3" w14:textId="77777777" w:rsidR="0076138F" w:rsidRPr="00CB26F8" w:rsidRDefault="0076138F" w:rsidP="00753AAE">
      <w:pPr>
        <w:numPr>
          <w:ilvl w:val="0"/>
          <w:numId w:val="11"/>
        </w:numPr>
        <w:spacing w:after="120"/>
        <w:rPr>
          <w:rFonts w:eastAsia="Calibri" w:cs="Arial"/>
          <w:b/>
          <w:bCs w:val="0"/>
          <w:szCs w:val="24"/>
        </w:rPr>
      </w:pPr>
      <w:r w:rsidRPr="00CB26F8">
        <w:rPr>
          <w:rFonts w:eastAsia="Calibri" w:cs="Arial"/>
          <w:bCs w:val="0"/>
          <w:szCs w:val="24"/>
        </w:rPr>
        <w:t>Be sensitive and respect the individual’s dignity and confidentiality</w:t>
      </w:r>
    </w:p>
    <w:p w14:paraId="1F1481BA" w14:textId="77777777" w:rsidR="0076138F" w:rsidRPr="00CB26F8" w:rsidRDefault="0076138F" w:rsidP="00753AAE">
      <w:pPr>
        <w:numPr>
          <w:ilvl w:val="0"/>
          <w:numId w:val="11"/>
        </w:numPr>
        <w:spacing w:after="120"/>
        <w:rPr>
          <w:rFonts w:eastAsia="Calibri" w:cs="Arial"/>
          <w:b/>
          <w:bCs w:val="0"/>
          <w:szCs w:val="24"/>
        </w:rPr>
      </w:pPr>
      <w:r w:rsidRPr="00CB26F8">
        <w:rPr>
          <w:rFonts w:eastAsia="Calibri" w:cs="Arial"/>
          <w:bCs w:val="0"/>
          <w:szCs w:val="24"/>
        </w:rPr>
        <w:t>Reassure the individual if they show signs of distress or discomfort</w:t>
      </w:r>
    </w:p>
    <w:p w14:paraId="70C184A6" w14:textId="77777777" w:rsidR="0076138F" w:rsidRPr="00CB26F8" w:rsidRDefault="0076138F" w:rsidP="00753AAE">
      <w:pPr>
        <w:numPr>
          <w:ilvl w:val="0"/>
          <w:numId w:val="11"/>
        </w:numPr>
        <w:spacing w:after="120"/>
        <w:rPr>
          <w:rFonts w:eastAsia="Calibri" w:cs="Arial"/>
          <w:b/>
          <w:bCs w:val="0"/>
          <w:szCs w:val="24"/>
        </w:rPr>
      </w:pPr>
      <w:r w:rsidRPr="00CB26F8">
        <w:rPr>
          <w:rFonts w:eastAsia="Calibri" w:cs="Arial"/>
          <w:bCs w:val="0"/>
          <w:szCs w:val="24"/>
        </w:rPr>
        <w:t>Be familiar with the procedures involved in a routine intimate examination</w:t>
      </w:r>
    </w:p>
    <w:p w14:paraId="4B0ACA77" w14:textId="77777777" w:rsidR="0076138F" w:rsidRPr="00CB26F8" w:rsidRDefault="0076138F" w:rsidP="00753AAE">
      <w:pPr>
        <w:numPr>
          <w:ilvl w:val="0"/>
          <w:numId w:val="11"/>
        </w:numPr>
        <w:spacing w:after="120"/>
        <w:rPr>
          <w:rFonts w:eastAsia="Calibri" w:cs="Arial"/>
          <w:b/>
          <w:bCs w:val="0"/>
          <w:szCs w:val="24"/>
        </w:rPr>
      </w:pPr>
      <w:r w:rsidRPr="00CB26F8">
        <w:rPr>
          <w:rFonts w:eastAsia="Calibri" w:cs="Arial"/>
          <w:bCs w:val="0"/>
          <w:szCs w:val="24"/>
        </w:rPr>
        <w:t>Stay for the whole examination and be able to see what the examining medical practitioner is doing, if practical</w:t>
      </w:r>
    </w:p>
    <w:p w14:paraId="7806224D" w14:textId="77777777" w:rsidR="0076138F" w:rsidRPr="00CB26F8" w:rsidRDefault="0076138F" w:rsidP="00753AAE">
      <w:pPr>
        <w:numPr>
          <w:ilvl w:val="0"/>
          <w:numId w:val="11"/>
        </w:numPr>
        <w:spacing w:after="120"/>
        <w:rPr>
          <w:rFonts w:eastAsia="Calibri" w:cs="Arial"/>
          <w:b/>
          <w:bCs w:val="0"/>
          <w:szCs w:val="24"/>
        </w:rPr>
      </w:pPr>
      <w:r w:rsidRPr="00CB26F8">
        <w:rPr>
          <w:rFonts w:eastAsia="Calibri" w:cs="Arial"/>
          <w:bCs w:val="0"/>
          <w:szCs w:val="24"/>
        </w:rPr>
        <w:t>Be prepared to raise concerns if they are concerned about the examining medical practitioner behaviour or actions</w:t>
      </w:r>
    </w:p>
    <w:p w14:paraId="1E5ED378" w14:textId="77777777" w:rsidR="0076138F" w:rsidRPr="00CB26F8" w:rsidRDefault="0076138F" w:rsidP="00F14C7F">
      <w:pPr>
        <w:spacing w:after="120"/>
        <w:rPr>
          <w:rFonts w:eastAsia="Calibri" w:cs="Arial"/>
          <w:b/>
          <w:bCs w:val="0"/>
          <w:szCs w:val="24"/>
        </w:rPr>
      </w:pPr>
      <w:r w:rsidRPr="00CB26F8">
        <w:rPr>
          <w:rFonts w:eastAsia="Calibri" w:cs="Arial"/>
          <w:bCs w:val="0"/>
          <w:szCs w:val="24"/>
        </w:rPr>
        <w:t xml:space="preserve">A relative or friend of the individual is not an impartial observer and so would not usually be a suitable chaperone, but the examining medical practitioner should </w:t>
      </w:r>
      <w:r w:rsidRPr="00CB26F8">
        <w:rPr>
          <w:rFonts w:eastAsia="Calibri" w:cs="Arial"/>
          <w:bCs w:val="0"/>
          <w:szCs w:val="24"/>
        </w:rPr>
        <w:lastRenderedPageBreak/>
        <w:t>comply with a reasonable request to have such a person present as well as a chaperone.</w:t>
      </w:r>
    </w:p>
    <w:p w14:paraId="36E360DC" w14:textId="77777777" w:rsidR="0076138F" w:rsidRPr="00CB26F8" w:rsidRDefault="0076138F" w:rsidP="00F14C7F">
      <w:pPr>
        <w:spacing w:after="120"/>
        <w:rPr>
          <w:rFonts w:eastAsia="Calibri" w:cs="Arial"/>
          <w:b/>
          <w:bCs w:val="0"/>
          <w:szCs w:val="24"/>
        </w:rPr>
      </w:pPr>
      <w:r w:rsidRPr="00CB26F8">
        <w:rPr>
          <w:rFonts w:eastAsia="Calibri" w:cs="Arial"/>
          <w:bCs w:val="0"/>
          <w:szCs w:val="24"/>
        </w:rPr>
        <w:t>If either the medical examining practitioner or the individual does not want the examination to go ahead without a chaperone present, or if either party is uncomfortable with the choice of chaperone, the examination may be delayed to a later date when a suitable chaperone will be available, as long as the delay would not adversely affect the individual’s health.</w:t>
      </w:r>
    </w:p>
    <w:p w14:paraId="4C07AF96" w14:textId="77777777" w:rsidR="0076138F" w:rsidRPr="00CB26F8" w:rsidRDefault="0076138F" w:rsidP="00F14C7F">
      <w:pPr>
        <w:spacing w:after="120"/>
        <w:rPr>
          <w:rFonts w:eastAsia="Calibri" w:cs="Arial"/>
          <w:b/>
          <w:bCs w:val="0"/>
          <w:szCs w:val="24"/>
        </w:rPr>
      </w:pPr>
      <w:r w:rsidRPr="00CB26F8">
        <w:rPr>
          <w:rFonts w:eastAsia="Calibri" w:cs="Arial"/>
          <w:bCs w:val="0"/>
          <w:szCs w:val="24"/>
        </w:rPr>
        <w:t xml:space="preserve">If the examining medical practitioner does not want to proceed without a chaperone present but the individual has refused to </w:t>
      </w:r>
      <w:r w:rsidR="00DE7DE1" w:rsidRPr="00CB26F8">
        <w:rPr>
          <w:rFonts w:eastAsia="Calibri" w:cs="Arial"/>
          <w:bCs w:val="0"/>
          <w:szCs w:val="24"/>
        </w:rPr>
        <w:t>have</w:t>
      </w:r>
      <w:r w:rsidRPr="00CB26F8">
        <w:rPr>
          <w:rFonts w:eastAsia="Calibri" w:cs="Arial"/>
          <w:bCs w:val="0"/>
          <w:szCs w:val="24"/>
        </w:rPr>
        <w:t xml:space="preserve"> one, the examining medical practitioner must explain their reasoning clearly, but ultimately the individual’s clinical needs must take precedence. The examining medical practitioner may wish to consider referring the patient to a colleague who would be willing to examine them without a chaperone, </w:t>
      </w:r>
      <w:proofErr w:type="gramStart"/>
      <w:r w:rsidRPr="00CB26F8">
        <w:rPr>
          <w:rFonts w:eastAsia="Calibri" w:cs="Arial"/>
          <w:bCs w:val="0"/>
          <w:szCs w:val="24"/>
        </w:rPr>
        <w:t>as long as</w:t>
      </w:r>
      <w:proofErr w:type="gramEnd"/>
      <w:r w:rsidRPr="00CB26F8">
        <w:rPr>
          <w:rFonts w:eastAsia="Calibri" w:cs="Arial"/>
          <w:bCs w:val="0"/>
          <w:szCs w:val="24"/>
        </w:rPr>
        <w:t xml:space="preserve"> a delay would not adversely affect the patient’s health.</w:t>
      </w:r>
    </w:p>
    <w:p w14:paraId="5DE7FB43" w14:textId="77777777" w:rsidR="00180871" w:rsidRPr="00CB26F8" w:rsidRDefault="00180871" w:rsidP="00F14C7F">
      <w:pPr>
        <w:spacing w:after="120"/>
        <w:rPr>
          <w:rFonts w:cs="Arial"/>
          <w:b/>
          <w:szCs w:val="24"/>
        </w:rPr>
      </w:pPr>
    </w:p>
    <w:p w14:paraId="279F1727" w14:textId="77777777" w:rsidR="00180871" w:rsidRPr="00CB26F8" w:rsidRDefault="00180871" w:rsidP="00F14C7F">
      <w:pPr>
        <w:spacing w:after="120"/>
        <w:rPr>
          <w:rFonts w:cs="Arial"/>
          <w:b/>
          <w:szCs w:val="24"/>
        </w:rPr>
      </w:pPr>
    </w:p>
    <w:p w14:paraId="1D47F688" w14:textId="77777777" w:rsidR="00180871" w:rsidRPr="00CB26F8" w:rsidRDefault="00180871" w:rsidP="00F14C7F">
      <w:pPr>
        <w:spacing w:after="120"/>
        <w:rPr>
          <w:rFonts w:cs="Arial"/>
          <w:b/>
          <w:szCs w:val="24"/>
        </w:rPr>
      </w:pPr>
    </w:p>
    <w:p w14:paraId="6CC97E32" w14:textId="77777777" w:rsidR="00180871" w:rsidRPr="00CB26F8" w:rsidRDefault="00180871" w:rsidP="00F14C7F">
      <w:pPr>
        <w:spacing w:after="120"/>
        <w:rPr>
          <w:rFonts w:cs="Arial"/>
          <w:b/>
          <w:szCs w:val="24"/>
        </w:rPr>
      </w:pPr>
    </w:p>
    <w:p w14:paraId="08FB2640" w14:textId="77777777" w:rsidR="00180871" w:rsidRPr="00CB26F8" w:rsidRDefault="00180871" w:rsidP="00F14C7F">
      <w:pPr>
        <w:spacing w:after="120"/>
        <w:rPr>
          <w:rFonts w:cs="Arial"/>
          <w:b/>
          <w:szCs w:val="24"/>
        </w:rPr>
      </w:pPr>
    </w:p>
    <w:p w14:paraId="25F70FE3" w14:textId="77777777" w:rsidR="00180871" w:rsidRPr="00CB26F8" w:rsidRDefault="00180871" w:rsidP="00F14C7F">
      <w:pPr>
        <w:spacing w:after="120"/>
        <w:rPr>
          <w:rFonts w:cs="Arial"/>
          <w:b/>
          <w:szCs w:val="24"/>
        </w:rPr>
      </w:pPr>
    </w:p>
    <w:p w14:paraId="12293881" w14:textId="77777777" w:rsidR="00180871" w:rsidRPr="00CB26F8" w:rsidRDefault="00180871" w:rsidP="00F14C7F">
      <w:pPr>
        <w:spacing w:after="120"/>
        <w:rPr>
          <w:rFonts w:cs="Arial"/>
          <w:b/>
          <w:szCs w:val="24"/>
        </w:rPr>
      </w:pPr>
    </w:p>
    <w:p w14:paraId="526979D0" w14:textId="77777777" w:rsidR="00180871" w:rsidRPr="00CB26F8" w:rsidRDefault="00180871" w:rsidP="00F14C7F">
      <w:pPr>
        <w:spacing w:after="120"/>
        <w:rPr>
          <w:rFonts w:cs="Arial"/>
          <w:b/>
          <w:szCs w:val="24"/>
        </w:rPr>
      </w:pPr>
    </w:p>
    <w:p w14:paraId="33730F4F" w14:textId="77777777" w:rsidR="00180871" w:rsidRPr="00CB26F8" w:rsidRDefault="00180871" w:rsidP="00F14C7F">
      <w:pPr>
        <w:spacing w:after="120"/>
        <w:rPr>
          <w:rFonts w:cs="Arial"/>
          <w:b/>
          <w:szCs w:val="24"/>
        </w:rPr>
      </w:pPr>
    </w:p>
    <w:p w14:paraId="601F0F02" w14:textId="77777777" w:rsidR="00180871" w:rsidRPr="00CB26F8" w:rsidRDefault="00180871" w:rsidP="00F14C7F">
      <w:pPr>
        <w:spacing w:after="120"/>
        <w:rPr>
          <w:rFonts w:cs="Arial"/>
          <w:b/>
          <w:szCs w:val="24"/>
        </w:rPr>
      </w:pPr>
    </w:p>
    <w:p w14:paraId="228F9A3E" w14:textId="77777777" w:rsidR="00180871" w:rsidRPr="00CB26F8" w:rsidRDefault="00180871" w:rsidP="00F14C7F">
      <w:pPr>
        <w:spacing w:after="120"/>
        <w:rPr>
          <w:rFonts w:cs="Arial"/>
          <w:b/>
          <w:szCs w:val="24"/>
        </w:rPr>
      </w:pPr>
    </w:p>
    <w:p w14:paraId="7A1D002E" w14:textId="77777777" w:rsidR="00954E07" w:rsidRDefault="00954E07" w:rsidP="00F95783">
      <w:pPr>
        <w:spacing w:after="120"/>
        <w:rPr>
          <w:rFonts w:cs="Arial"/>
          <w:b/>
          <w:szCs w:val="24"/>
        </w:rPr>
      </w:pPr>
    </w:p>
    <w:p w14:paraId="459CE5BD" w14:textId="77777777" w:rsidR="00A32E63" w:rsidRDefault="00A32E63" w:rsidP="00F95783">
      <w:pPr>
        <w:spacing w:after="120"/>
        <w:rPr>
          <w:rFonts w:cs="Arial"/>
          <w:b/>
          <w:szCs w:val="24"/>
        </w:rPr>
      </w:pPr>
    </w:p>
    <w:p w14:paraId="2F265569" w14:textId="77777777" w:rsidR="00954E07" w:rsidRDefault="00954E07" w:rsidP="00F95783">
      <w:pPr>
        <w:spacing w:after="120"/>
        <w:rPr>
          <w:rFonts w:cs="Arial"/>
          <w:b/>
          <w:szCs w:val="24"/>
        </w:rPr>
      </w:pPr>
    </w:p>
    <w:p w14:paraId="6CA75723" w14:textId="77777777" w:rsidR="00954E07" w:rsidRDefault="00954E07" w:rsidP="00F95783">
      <w:pPr>
        <w:spacing w:after="120"/>
        <w:rPr>
          <w:rFonts w:cs="Arial"/>
          <w:b/>
          <w:szCs w:val="24"/>
        </w:rPr>
      </w:pPr>
    </w:p>
    <w:p w14:paraId="6AC6CA2E" w14:textId="77777777" w:rsidR="00541415" w:rsidRDefault="00541415" w:rsidP="00F95783">
      <w:pPr>
        <w:spacing w:after="120"/>
        <w:rPr>
          <w:rFonts w:cs="Arial"/>
          <w:b/>
          <w:szCs w:val="24"/>
        </w:rPr>
      </w:pPr>
    </w:p>
    <w:p w14:paraId="67473946" w14:textId="77777777" w:rsidR="00A32E63" w:rsidRDefault="00A32E63" w:rsidP="00F95783">
      <w:pPr>
        <w:spacing w:after="120"/>
        <w:rPr>
          <w:rFonts w:cs="Arial"/>
          <w:b/>
          <w:szCs w:val="24"/>
        </w:rPr>
      </w:pPr>
    </w:p>
    <w:p w14:paraId="326D284B" w14:textId="77777777" w:rsidR="00A32E63" w:rsidRDefault="00A32E63" w:rsidP="00F95783">
      <w:pPr>
        <w:spacing w:after="120"/>
        <w:rPr>
          <w:rFonts w:cs="Arial"/>
          <w:b/>
          <w:szCs w:val="24"/>
        </w:rPr>
      </w:pPr>
    </w:p>
    <w:p w14:paraId="20AF945F" w14:textId="77777777" w:rsidR="00A32E63" w:rsidRDefault="00A32E63" w:rsidP="00F95783">
      <w:pPr>
        <w:spacing w:after="120"/>
        <w:rPr>
          <w:rFonts w:cs="Arial"/>
          <w:b/>
          <w:szCs w:val="24"/>
        </w:rPr>
      </w:pPr>
    </w:p>
    <w:p w14:paraId="0ADBD329" w14:textId="77777777" w:rsidR="00A32E63" w:rsidRDefault="00A32E63" w:rsidP="00F95783">
      <w:pPr>
        <w:spacing w:after="120"/>
        <w:rPr>
          <w:rFonts w:cs="Arial"/>
          <w:b/>
          <w:szCs w:val="24"/>
        </w:rPr>
      </w:pPr>
    </w:p>
    <w:p w14:paraId="2E408CC9" w14:textId="77777777" w:rsidR="00A32E63" w:rsidRDefault="00A32E63" w:rsidP="00F95783">
      <w:pPr>
        <w:spacing w:after="120"/>
        <w:rPr>
          <w:rFonts w:cs="Arial"/>
          <w:b/>
          <w:szCs w:val="24"/>
        </w:rPr>
      </w:pPr>
    </w:p>
    <w:p w14:paraId="7D65BA08" w14:textId="77777777" w:rsidR="00A32E63" w:rsidRDefault="00A32E63" w:rsidP="00F95783">
      <w:pPr>
        <w:spacing w:after="120"/>
        <w:rPr>
          <w:rFonts w:cs="Arial"/>
          <w:b/>
          <w:szCs w:val="24"/>
        </w:rPr>
      </w:pPr>
    </w:p>
    <w:p w14:paraId="429EBBE4" w14:textId="77777777" w:rsidR="00A32E63" w:rsidRDefault="00A32E63" w:rsidP="00F95783">
      <w:pPr>
        <w:spacing w:after="120"/>
        <w:rPr>
          <w:rFonts w:cs="Arial"/>
          <w:b/>
          <w:szCs w:val="24"/>
        </w:rPr>
      </w:pPr>
    </w:p>
    <w:p w14:paraId="5E9B04C0" w14:textId="77777777" w:rsidR="00C246E6" w:rsidRDefault="00C246E6" w:rsidP="00F95783">
      <w:pPr>
        <w:spacing w:after="120"/>
        <w:rPr>
          <w:rFonts w:cs="Arial"/>
          <w:b/>
          <w:szCs w:val="24"/>
        </w:rPr>
      </w:pPr>
    </w:p>
    <w:p w14:paraId="7C121B4E" w14:textId="77777777" w:rsidR="00F95783" w:rsidRPr="00CB26F8" w:rsidRDefault="00954E07" w:rsidP="00F95783">
      <w:pPr>
        <w:spacing w:after="120"/>
        <w:rPr>
          <w:rFonts w:cs="Arial"/>
          <w:b/>
          <w:szCs w:val="24"/>
        </w:rPr>
      </w:pPr>
      <w:r>
        <w:rPr>
          <w:rFonts w:cs="Arial"/>
          <w:b/>
          <w:szCs w:val="24"/>
        </w:rPr>
        <w:lastRenderedPageBreak/>
        <w:t>Appendix G</w:t>
      </w:r>
      <w:r w:rsidR="00F95783">
        <w:rPr>
          <w:rFonts w:cs="Arial"/>
          <w:b/>
          <w:szCs w:val="24"/>
        </w:rPr>
        <w:t xml:space="preserve">: </w:t>
      </w:r>
      <w:r w:rsidR="00F95783" w:rsidRPr="00CB26F8">
        <w:rPr>
          <w:rFonts w:cs="Arial"/>
          <w:b/>
          <w:szCs w:val="24"/>
        </w:rPr>
        <w:t>Named Professional’s role in treatment process</w:t>
      </w:r>
    </w:p>
    <w:p w14:paraId="5DAE6C35" w14:textId="77777777" w:rsidR="001E5F6F" w:rsidRDefault="00F95783" w:rsidP="001E5F6F">
      <w:pPr>
        <w:spacing w:after="120"/>
        <w:rPr>
          <w:rFonts w:cs="Arial"/>
          <w:b/>
          <w:szCs w:val="24"/>
        </w:rPr>
      </w:pPr>
      <w:r w:rsidRPr="00CB26F8">
        <w:rPr>
          <w:rFonts w:cs="Arial"/>
          <w:szCs w:val="24"/>
        </w:rPr>
        <w:t>Individuals who progress to a treatment process, and individuals accepted for direct transfer of care between specialised services, will be allocated a ‘Named Professional’ for the duration of the episode of care. This will be a regulated health professional who will act as the individual’s primary ‘point of contact’ with the service, provide basic information about interventions and the care process, and oversee and facilitate timely progress through the individual’s treatment plan, including those elements of the care pathway that are delivered by other providers. They will liaise and share information with other clinicians involved in the individual’s care with the specialised network and with the GP. With the individual’s consent, they will also deliver supportive counselling according to need.</w:t>
      </w:r>
    </w:p>
    <w:p w14:paraId="077A0440" w14:textId="77777777" w:rsidR="001E5F6F" w:rsidRDefault="00031600" w:rsidP="001E5F6F">
      <w:pPr>
        <w:spacing w:after="120"/>
        <w:rPr>
          <w:rFonts w:cs="Arial"/>
          <w:b/>
          <w:szCs w:val="24"/>
        </w:rPr>
      </w:pPr>
      <w:r>
        <w:rPr>
          <w:rFonts w:cs="Arial"/>
          <w:szCs w:val="24"/>
        </w:rPr>
        <w:t xml:space="preserve">The frequency of contact should be determined according to individual need, though usually </w:t>
      </w:r>
      <w:r w:rsidR="00F95783" w:rsidRPr="00CB26F8">
        <w:rPr>
          <w:rFonts w:cs="Arial"/>
          <w:szCs w:val="24"/>
        </w:rPr>
        <w:t>the minimum frequency of contact will be every six months</w:t>
      </w:r>
      <w:r>
        <w:rPr>
          <w:rFonts w:cs="Arial"/>
          <w:szCs w:val="24"/>
        </w:rPr>
        <w:t>.</w:t>
      </w:r>
    </w:p>
    <w:p w14:paraId="6F01BA4D" w14:textId="77777777" w:rsidR="001E5F6F" w:rsidRDefault="00F95783" w:rsidP="001E5F6F">
      <w:pPr>
        <w:spacing w:after="120"/>
        <w:rPr>
          <w:rFonts w:cs="Arial"/>
          <w:b/>
          <w:szCs w:val="24"/>
        </w:rPr>
      </w:pPr>
      <w:r w:rsidRPr="00CB26F8">
        <w:rPr>
          <w:rFonts w:cs="Arial"/>
          <w:szCs w:val="24"/>
        </w:rPr>
        <w:t xml:space="preserve">It will be explained to individuals why engagement with a Named Professional is essential and integral to the monitoring and management of their individual treatment plan. Providers must offer flexible access, including consultation by video communication, telephone and e-mail where this is appropriate to the individual’s circumstances, though individuals are expected to attend face-to-face consultations at least once a year </w:t>
      </w:r>
      <w:proofErr w:type="gramStart"/>
      <w:r w:rsidRPr="00CB26F8">
        <w:rPr>
          <w:rFonts w:cs="Arial"/>
          <w:szCs w:val="24"/>
        </w:rPr>
        <w:t>during the course of</w:t>
      </w:r>
      <w:proofErr w:type="gramEnd"/>
      <w:r w:rsidRPr="00CB26F8">
        <w:rPr>
          <w:rFonts w:cs="Arial"/>
          <w:szCs w:val="24"/>
        </w:rPr>
        <w:t xml:space="preserve"> their care.</w:t>
      </w:r>
    </w:p>
    <w:p w14:paraId="30551EE0" w14:textId="77777777" w:rsidR="00F95783" w:rsidRPr="00CB26F8" w:rsidRDefault="00F95783" w:rsidP="001E5F6F">
      <w:pPr>
        <w:spacing w:after="120"/>
        <w:rPr>
          <w:rFonts w:cs="Arial"/>
          <w:b/>
          <w:szCs w:val="24"/>
        </w:rPr>
      </w:pPr>
      <w:r w:rsidRPr="00CB26F8">
        <w:rPr>
          <w:rFonts w:cs="Arial"/>
          <w:szCs w:val="24"/>
        </w:rPr>
        <w:t>There is value in maintaining continuity of care by minimising change in the person acting as Named Professional for individuals as they progress from assessment to discharge, but this may be necessary because of changing individual and service needs, or individual choice.</w:t>
      </w:r>
    </w:p>
    <w:p w14:paraId="4C8E3770" w14:textId="77777777" w:rsidR="00954E07" w:rsidRDefault="00954E07" w:rsidP="00F95783">
      <w:pPr>
        <w:spacing w:after="120"/>
        <w:rPr>
          <w:rFonts w:cs="Arial"/>
          <w:b/>
          <w:szCs w:val="24"/>
        </w:rPr>
      </w:pPr>
    </w:p>
    <w:p w14:paraId="06F1A925" w14:textId="77777777" w:rsidR="00954E07" w:rsidRDefault="00954E07" w:rsidP="00F95783">
      <w:pPr>
        <w:spacing w:after="120"/>
        <w:rPr>
          <w:rFonts w:cs="Arial"/>
          <w:b/>
          <w:szCs w:val="24"/>
        </w:rPr>
      </w:pPr>
    </w:p>
    <w:p w14:paraId="7FF2A1AA" w14:textId="77777777" w:rsidR="00954E07" w:rsidRDefault="00954E07" w:rsidP="00F95783">
      <w:pPr>
        <w:spacing w:after="120"/>
        <w:rPr>
          <w:rFonts w:cs="Arial"/>
          <w:b/>
          <w:szCs w:val="24"/>
        </w:rPr>
      </w:pPr>
    </w:p>
    <w:p w14:paraId="1A3103ED" w14:textId="77777777" w:rsidR="00954E07" w:rsidRDefault="00954E07" w:rsidP="00F95783">
      <w:pPr>
        <w:spacing w:after="120"/>
        <w:rPr>
          <w:rFonts w:cs="Arial"/>
          <w:b/>
          <w:szCs w:val="24"/>
        </w:rPr>
      </w:pPr>
    </w:p>
    <w:p w14:paraId="657056AA" w14:textId="77777777" w:rsidR="00541415" w:rsidRDefault="00541415" w:rsidP="00F95783">
      <w:pPr>
        <w:spacing w:after="120"/>
        <w:rPr>
          <w:rFonts w:cs="Arial"/>
          <w:b/>
          <w:szCs w:val="24"/>
        </w:rPr>
      </w:pPr>
    </w:p>
    <w:p w14:paraId="21B9A11C" w14:textId="77777777" w:rsidR="00541415" w:rsidRDefault="00541415" w:rsidP="00F95783">
      <w:pPr>
        <w:spacing w:after="120"/>
        <w:rPr>
          <w:rFonts w:cs="Arial"/>
          <w:b/>
          <w:szCs w:val="24"/>
        </w:rPr>
      </w:pPr>
    </w:p>
    <w:p w14:paraId="6966717B" w14:textId="77777777" w:rsidR="00541415" w:rsidRDefault="00541415" w:rsidP="00F95783">
      <w:pPr>
        <w:spacing w:after="120"/>
        <w:rPr>
          <w:rFonts w:cs="Arial"/>
          <w:b/>
          <w:szCs w:val="24"/>
        </w:rPr>
      </w:pPr>
    </w:p>
    <w:p w14:paraId="1A1C725F" w14:textId="77777777" w:rsidR="00A32E63" w:rsidRDefault="00A32E63" w:rsidP="00F95783">
      <w:pPr>
        <w:spacing w:after="120"/>
        <w:rPr>
          <w:rFonts w:cs="Arial"/>
          <w:b/>
          <w:szCs w:val="24"/>
        </w:rPr>
      </w:pPr>
    </w:p>
    <w:p w14:paraId="505C758F" w14:textId="77777777" w:rsidR="00A32E63" w:rsidRDefault="00A32E63" w:rsidP="00F95783">
      <w:pPr>
        <w:spacing w:after="120"/>
        <w:rPr>
          <w:rFonts w:cs="Arial"/>
          <w:b/>
          <w:szCs w:val="24"/>
        </w:rPr>
      </w:pPr>
    </w:p>
    <w:p w14:paraId="0616E0FE" w14:textId="77777777" w:rsidR="00A32E63" w:rsidRDefault="00A32E63" w:rsidP="00F95783">
      <w:pPr>
        <w:spacing w:after="120"/>
        <w:rPr>
          <w:rFonts w:cs="Arial"/>
          <w:b/>
          <w:szCs w:val="24"/>
        </w:rPr>
      </w:pPr>
    </w:p>
    <w:p w14:paraId="36C23549" w14:textId="77777777" w:rsidR="00A32E63" w:rsidRDefault="00A32E63" w:rsidP="00F95783">
      <w:pPr>
        <w:spacing w:after="120"/>
        <w:rPr>
          <w:rFonts w:cs="Arial"/>
          <w:b/>
          <w:szCs w:val="24"/>
        </w:rPr>
      </w:pPr>
    </w:p>
    <w:p w14:paraId="5382F029" w14:textId="77777777" w:rsidR="00A32E63" w:rsidRDefault="00A32E63" w:rsidP="00F95783">
      <w:pPr>
        <w:spacing w:after="120"/>
        <w:rPr>
          <w:rFonts w:cs="Arial"/>
          <w:b/>
          <w:szCs w:val="24"/>
        </w:rPr>
      </w:pPr>
    </w:p>
    <w:p w14:paraId="6144290A" w14:textId="77777777" w:rsidR="00A32E63" w:rsidRDefault="00A32E63" w:rsidP="00F95783">
      <w:pPr>
        <w:spacing w:after="120"/>
        <w:rPr>
          <w:rFonts w:cs="Arial"/>
          <w:b/>
          <w:szCs w:val="24"/>
        </w:rPr>
      </w:pPr>
    </w:p>
    <w:p w14:paraId="0EE73DCD" w14:textId="77777777" w:rsidR="00A32E63" w:rsidRDefault="00A32E63" w:rsidP="00F95783">
      <w:pPr>
        <w:spacing w:after="120"/>
        <w:rPr>
          <w:rFonts w:cs="Arial"/>
          <w:b/>
          <w:szCs w:val="24"/>
        </w:rPr>
      </w:pPr>
    </w:p>
    <w:p w14:paraId="583A9ACB" w14:textId="77777777" w:rsidR="00C246E6" w:rsidRDefault="00C246E6" w:rsidP="00F95783">
      <w:pPr>
        <w:spacing w:after="120"/>
        <w:rPr>
          <w:rFonts w:cs="Arial"/>
          <w:b/>
          <w:szCs w:val="24"/>
        </w:rPr>
      </w:pPr>
    </w:p>
    <w:p w14:paraId="5B5135DC" w14:textId="77777777" w:rsidR="00C246E6" w:rsidRDefault="00C246E6" w:rsidP="00F95783">
      <w:pPr>
        <w:spacing w:after="120"/>
        <w:rPr>
          <w:rFonts w:cs="Arial"/>
          <w:b/>
          <w:szCs w:val="24"/>
        </w:rPr>
      </w:pPr>
    </w:p>
    <w:p w14:paraId="558C2A23" w14:textId="77777777" w:rsidR="00C246E6" w:rsidRDefault="00C246E6" w:rsidP="00F95783">
      <w:pPr>
        <w:spacing w:after="120"/>
        <w:rPr>
          <w:rFonts w:cs="Arial"/>
          <w:b/>
          <w:szCs w:val="24"/>
        </w:rPr>
      </w:pPr>
    </w:p>
    <w:p w14:paraId="7D396C29" w14:textId="77777777" w:rsidR="00C246E6" w:rsidRDefault="00C246E6" w:rsidP="00F95783">
      <w:pPr>
        <w:spacing w:after="120"/>
        <w:rPr>
          <w:rFonts w:cs="Arial"/>
          <w:b/>
          <w:szCs w:val="24"/>
        </w:rPr>
      </w:pPr>
    </w:p>
    <w:p w14:paraId="1EF74CDE" w14:textId="77777777" w:rsidR="00F95783" w:rsidRPr="00CB26F8" w:rsidRDefault="00954E07" w:rsidP="00F95783">
      <w:pPr>
        <w:spacing w:after="120"/>
        <w:rPr>
          <w:rFonts w:cs="Arial"/>
          <w:b/>
          <w:szCs w:val="24"/>
        </w:rPr>
      </w:pPr>
      <w:r>
        <w:rPr>
          <w:rFonts w:cs="Arial"/>
          <w:b/>
          <w:szCs w:val="24"/>
        </w:rPr>
        <w:lastRenderedPageBreak/>
        <w:t>Appendix H</w:t>
      </w:r>
      <w:r w:rsidR="00F95783">
        <w:rPr>
          <w:rFonts w:cs="Arial"/>
          <w:b/>
          <w:szCs w:val="24"/>
        </w:rPr>
        <w:t xml:space="preserve">: </w:t>
      </w:r>
      <w:r w:rsidR="00F95783" w:rsidRPr="00CB26F8">
        <w:rPr>
          <w:rFonts w:cs="Arial"/>
          <w:b/>
          <w:szCs w:val="24"/>
        </w:rPr>
        <w:t>Lead Clinician role in treatment process</w:t>
      </w:r>
    </w:p>
    <w:p w14:paraId="104CB0C0" w14:textId="77777777" w:rsidR="001E5F6F" w:rsidRDefault="00F95783" w:rsidP="001E5F6F">
      <w:pPr>
        <w:spacing w:after="120"/>
        <w:rPr>
          <w:rFonts w:cs="Arial"/>
          <w:szCs w:val="24"/>
        </w:rPr>
      </w:pPr>
      <w:r w:rsidRPr="00CB26F8">
        <w:rPr>
          <w:rFonts w:cs="Arial"/>
          <w:szCs w:val="24"/>
        </w:rPr>
        <w:t xml:space="preserve">A </w:t>
      </w:r>
      <w:r w:rsidR="00D611F1">
        <w:rPr>
          <w:rFonts w:cs="Arial"/>
          <w:szCs w:val="24"/>
        </w:rPr>
        <w:t xml:space="preserve">registered </w:t>
      </w:r>
      <w:r w:rsidRPr="00CB26F8">
        <w:rPr>
          <w:rFonts w:cs="Arial"/>
          <w:szCs w:val="24"/>
        </w:rPr>
        <w:t>medical practitioner or clinical or counselling psychologist will be appointed as ‘Lead Clinician’ for individuals who progress to a planned interv</w:t>
      </w:r>
      <w:r w:rsidR="001E5F6F">
        <w:rPr>
          <w:rFonts w:cs="Arial"/>
          <w:szCs w:val="24"/>
        </w:rPr>
        <w:t>ention on the NHS care pathway.</w:t>
      </w:r>
    </w:p>
    <w:p w14:paraId="69256FE4" w14:textId="77777777" w:rsidR="001E5F6F" w:rsidRDefault="00F95783" w:rsidP="001E5F6F">
      <w:pPr>
        <w:spacing w:after="120"/>
        <w:rPr>
          <w:rFonts w:cs="Arial"/>
          <w:szCs w:val="24"/>
        </w:rPr>
      </w:pPr>
      <w:r w:rsidRPr="00CB26F8">
        <w:rPr>
          <w:rFonts w:cs="Arial"/>
          <w:szCs w:val="24"/>
        </w:rPr>
        <w:t xml:space="preserve">The Lead Clinician will provide oversight of </w:t>
      </w:r>
      <w:proofErr w:type="gramStart"/>
      <w:r w:rsidRPr="00CB26F8">
        <w:rPr>
          <w:rFonts w:cs="Arial"/>
          <w:szCs w:val="24"/>
        </w:rPr>
        <w:t>each individual’s</w:t>
      </w:r>
      <w:proofErr w:type="gramEnd"/>
      <w:r w:rsidRPr="00CB26F8">
        <w:rPr>
          <w:rFonts w:cs="Arial"/>
          <w:szCs w:val="24"/>
        </w:rPr>
        <w:t xml:space="preserve"> progress towards completion of their treatment plan. The Lead Clinician may be the same person as the Named Professional. The clinician providing specialised psychological therapy should not also</w:t>
      </w:r>
      <w:r w:rsidR="001E5F6F">
        <w:rPr>
          <w:rFonts w:cs="Arial"/>
          <w:szCs w:val="24"/>
        </w:rPr>
        <w:t xml:space="preserve"> hold the ‘Lead Clinician role.</w:t>
      </w:r>
    </w:p>
    <w:p w14:paraId="5C427C3B" w14:textId="77777777" w:rsidR="001E5F6F" w:rsidRDefault="008703CC" w:rsidP="001E5F6F">
      <w:pPr>
        <w:spacing w:after="120"/>
        <w:rPr>
          <w:rFonts w:cs="Arial"/>
          <w:szCs w:val="24"/>
        </w:rPr>
      </w:pPr>
      <w:r w:rsidRPr="008703CC">
        <w:rPr>
          <w:rFonts w:cs="Arial"/>
          <w:szCs w:val="24"/>
        </w:rPr>
        <w:t xml:space="preserve">A professional in a Lead Clinician role must demonstrate evidence of training and have at least two years’ full time or equivalent experience in specialised gender dysphoria practice, or undertake regular mentoring with, and work under the supervision, of a professional with such experience. </w:t>
      </w:r>
      <w:r w:rsidR="00F95783" w:rsidRPr="00CB26F8">
        <w:rPr>
          <w:rFonts w:cs="Arial"/>
          <w:szCs w:val="24"/>
        </w:rPr>
        <w:t>There is value in maintaining continuity of care by minimising change in the person acting as Lead Clinician for individuals as they progress from assessment to discharge, but this may be necessary because of changing individual and service needs, or individual choice.</w:t>
      </w:r>
    </w:p>
    <w:p w14:paraId="7DA4CDAE" w14:textId="77777777" w:rsidR="00F95783" w:rsidRPr="001E5F6F" w:rsidRDefault="00F95783" w:rsidP="001E5F6F">
      <w:pPr>
        <w:spacing w:after="120"/>
        <w:rPr>
          <w:rFonts w:cs="Arial"/>
          <w:szCs w:val="24"/>
        </w:rPr>
      </w:pPr>
      <w:r w:rsidRPr="00CB26F8">
        <w:rPr>
          <w:rFonts w:cs="Arial"/>
          <w:szCs w:val="24"/>
        </w:rPr>
        <w:t>The Lead Clinician will initiate the interventions documented in the treatment plan and described in this service specification (some interventions require two opinions as described). All individuals who are offered a medical intervention will be given advice on smoking cessation, encouraged to take regular exercise and adopt a healthy lifestyle (so far as relevant to their circumstances).</w:t>
      </w:r>
    </w:p>
    <w:p w14:paraId="36737BC8" w14:textId="77777777" w:rsidR="00180871" w:rsidRPr="00CB26F8" w:rsidRDefault="00180871" w:rsidP="00F14C7F">
      <w:pPr>
        <w:spacing w:after="120"/>
        <w:rPr>
          <w:rFonts w:cs="Arial"/>
          <w:b/>
          <w:szCs w:val="24"/>
        </w:rPr>
      </w:pPr>
    </w:p>
    <w:p w14:paraId="07606CF8" w14:textId="77777777" w:rsidR="00180871" w:rsidRPr="00CB26F8" w:rsidRDefault="00180871" w:rsidP="00F14C7F">
      <w:pPr>
        <w:spacing w:after="120"/>
        <w:rPr>
          <w:rFonts w:cs="Arial"/>
          <w:b/>
          <w:szCs w:val="24"/>
        </w:rPr>
      </w:pPr>
    </w:p>
    <w:p w14:paraId="19411A3F" w14:textId="77777777" w:rsidR="00180871" w:rsidRPr="00CB26F8" w:rsidRDefault="00180871" w:rsidP="00F14C7F">
      <w:pPr>
        <w:spacing w:after="120"/>
        <w:rPr>
          <w:rFonts w:cs="Arial"/>
          <w:b/>
          <w:szCs w:val="24"/>
        </w:rPr>
      </w:pPr>
    </w:p>
    <w:p w14:paraId="7198A68B" w14:textId="77777777" w:rsidR="00180871" w:rsidRPr="00CB26F8" w:rsidRDefault="00180871" w:rsidP="00F14C7F">
      <w:pPr>
        <w:spacing w:after="120"/>
        <w:rPr>
          <w:rFonts w:cs="Arial"/>
          <w:b/>
          <w:szCs w:val="24"/>
        </w:rPr>
      </w:pPr>
    </w:p>
    <w:p w14:paraId="083A2387" w14:textId="77777777" w:rsidR="00180871" w:rsidRPr="00CB26F8" w:rsidRDefault="00180871" w:rsidP="00F14C7F">
      <w:pPr>
        <w:spacing w:after="120"/>
        <w:rPr>
          <w:rFonts w:cs="Arial"/>
          <w:b/>
          <w:szCs w:val="24"/>
        </w:rPr>
      </w:pPr>
    </w:p>
    <w:p w14:paraId="39719D6D" w14:textId="77777777" w:rsidR="00180871" w:rsidRPr="00CB26F8" w:rsidRDefault="00180871" w:rsidP="00F14C7F">
      <w:pPr>
        <w:spacing w:after="120"/>
        <w:rPr>
          <w:rFonts w:cs="Arial"/>
          <w:b/>
          <w:szCs w:val="24"/>
        </w:rPr>
      </w:pPr>
    </w:p>
    <w:p w14:paraId="56B13EF4" w14:textId="77777777" w:rsidR="00180871" w:rsidRPr="00CB26F8" w:rsidRDefault="00180871" w:rsidP="00F14C7F">
      <w:pPr>
        <w:spacing w:after="120"/>
        <w:rPr>
          <w:rFonts w:cs="Arial"/>
          <w:b/>
          <w:szCs w:val="24"/>
        </w:rPr>
      </w:pPr>
    </w:p>
    <w:p w14:paraId="68C9071B" w14:textId="77777777" w:rsidR="00180871" w:rsidRPr="00CB26F8" w:rsidRDefault="00180871" w:rsidP="00F14C7F">
      <w:pPr>
        <w:spacing w:after="120"/>
        <w:rPr>
          <w:rFonts w:cs="Arial"/>
          <w:b/>
          <w:szCs w:val="24"/>
        </w:rPr>
      </w:pPr>
    </w:p>
    <w:p w14:paraId="0322894E" w14:textId="77777777" w:rsidR="00180871" w:rsidRPr="00CB26F8" w:rsidRDefault="00180871" w:rsidP="00F14C7F">
      <w:pPr>
        <w:spacing w:after="120"/>
        <w:rPr>
          <w:rFonts w:cs="Arial"/>
          <w:b/>
          <w:szCs w:val="24"/>
        </w:rPr>
      </w:pPr>
    </w:p>
    <w:p w14:paraId="5EFA176D" w14:textId="77777777" w:rsidR="00180871" w:rsidRPr="00CB26F8" w:rsidRDefault="00180871" w:rsidP="00F14C7F">
      <w:pPr>
        <w:spacing w:after="120"/>
        <w:rPr>
          <w:rFonts w:cs="Arial"/>
          <w:b/>
          <w:szCs w:val="24"/>
        </w:rPr>
      </w:pPr>
    </w:p>
    <w:p w14:paraId="3B61A33E" w14:textId="77777777" w:rsidR="00954E07" w:rsidRDefault="00954E07" w:rsidP="00180871">
      <w:pPr>
        <w:spacing w:after="120"/>
        <w:rPr>
          <w:rFonts w:cs="Arial"/>
          <w:b/>
          <w:szCs w:val="24"/>
        </w:rPr>
      </w:pPr>
    </w:p>
    <w:p w14:paraId="2BC0488F" w14:textId="77777777" w:rsidR="00954E07" w:rsidRDefault="00954E07" w:rsidP="00180871">
      <w:pPr>
        <w:spacing w:after="120"/>
        <w:rPr>
          <w:rFonts w:cs="Arial"/>
          <w:b/>
          <w:szCs w:val="24"/>
        </w:rPr>
      </w:pPr>
    </w:p>
    <w:p w14:paraId="0AAC50EC" w14:textId="77777777" w:rsidR="00954E07" w:rsidRDefault="00954E07" w:rsidP="00180871">
      <w:pPr>
        <w:spacing w:after="120"/>
        <w:rPr>
          <w:rFonts w:cs="Arial"/>
          <w:b/>
          <w:szCs w:val="24"/>
        </w:rPr>
      </w:pPr>
    </w:p>
    <w:p w14:paraId="0FA91F57" w14:textId="77777777" w:rsidR="00954E07" w:rsidRDefault="00954E07" w:rsidP="00180871">
      <w:pPr>
        <w:spacing w:after="120"/>
        <w:rPr>
          <w:rFonts w:cs="Arial"/>
          <w:b/>
          <w:szCs w:val="24"/>
        </w:rPr>
      </w:pPr>
    </w:p>
    <w:p w14:paraId="66240985" w14:textId="77777777" w:rsidR="00954E07" w:rsidRDefault="00954E07" w:rsidP="00180871">
      <w:pPr>
        <w:spacing w:after="120"/>
        <w:rPr>
          <w:rFonts w:cs="Arial"/>
          <w:b/>
          <w:szCs w:val="24"/>
        </w:rPr>
      </w:pPr>
    </w:p>
    <w:p w14:paraId="0F8E2702" w14:textId="77777777" w:rsidR="00954E07" w:rsidRDefault="00954E07" w:rsidP="00180871">
      <w:pPr>
        <w:spacing w:after="120"/>
        <w:rPr>
          <w:rFonts w:cs="Arial"/>
          <w:b/>
          <w:szCs w:val="24"/>
        </w:rPr>
      </w:pPr>
    </w:p>
    <w:p w14:paraId="5B7B3C96" w14:textId="77777777" w:rsidR="00954E07" w:rsidRDefault="00954E07" w:rsidP="00180871">
      <w:pPr>
        <w:spacing w:after="120"/>
        <w:rPr>
          <w:rFonts w:cs="Arial"/>
          <w:b/>
          <w:szCs w:val="24"/>
        </w:rPr>
      </w:pPr>
    </w:p>
    <w:p w14:paraId="21D01D90" w14:textId="77777777" w:rsidR="00954E07" w:rsidRDefault="00954E07" w:rsidP="00180871">
      <w:pPr>
        <w:spacing w:after="120"/>
        <w:rPr>
          <w:rFonts w:cs="Arial"/>
          <w:b/>
          <w:szCs w:val="24"/>
        </w:rPr>
      </w:pPr>
    </w:p>
    <w:p w14:paraId="480AD356" w14:textId="77777777" w:rsidR="00954E07" w:rsidRDefault="00954E07" w:rsidP="00180871">
      <w:pPr>
        <w:spacing w:after="120"/>
        <w:rPr>
          <w:rFonts w:cs="Arial"/>
          <w:b/>
          <w:szCs w:val="24"/>
        </w:rPr>
      </w:pPr>
    </w:p>
    <w:p w14:paraId="625A62A8" w14:textId="77777777" w:rsidR="001E5F6F" w:rsidRDefault="001E5F6F" w:rsidP="00180871">
      <w:pPr>
        <w:spacing w:after="120"/>
        <w:rPr>
          <w:rFonts w:cs="Arial"/>
          <w:b/>
          <w:szCs w:val="24"/>
        </w:rPr>
      </w:pPr>
    </w:p>
    <w:p w14:paraId="4087ADC2" w14:textId="77777777" w:rsidR="00180871" w:rsidRPr="00CB26F8" w:rsidRDefault="00954E07" w:rsidP="00180871">
      <w:pPr>
        <w:spacing w:after="120"/>
        <w:rPr>
          <w:rFonts w:cs="Arial"/>
          <w:b/>
          <w:szCs w:val="24"/>
        </w:rPr>
      </w:pPr>
      <w:r>
        <w:rPr>
          <w:rFonts w:cs="Arial"/>
          <w:b/>
          <w:szCs w:val="24"/>
        </w:rPr>
        <w:lastRenderedPageBreak/>
        <w:t>Appendix I</w:t>
      </w:r>
      <w:r w:rsidR="009A5DB4">
        <w:rPr>
          <w:rFonts w:cs="Arial"/>
          <w:b/>
          <w:szCs w:val="24"/>
        </w:rPr>
        <w:t xml:space="preserve">: Specialised </w:t>
      </w:r>
      <w:r w:rsidR="00180871" w:rsidRPr="00CB26F8">
        <w:rPr>
          <w:rFonts w:cs="Arial"/>
          <w:b/>
          <w:szCs w:val="24"/>
        </w:rPr>
        <w:t>psychological interventions</w:t>
      </w:r>
    </w:p>
    <w:p w14:paraId="3021C671" w14:textId="77777777" w:rsidR="00180871" w:rsidRPr="00CB26F8" w:rsidRDefault="0076138F" w:rsidP="00180871">
      <w:pPr>
        <w:spacing w:after="120"/>
        <w:rPr>
          <w:rFonts w:cs="Arial"/>
          <w:b/>
          <w:szCs w:val="24"/>
        </w:rPr>
      </w:pPr>
      <w:r w:rsidRPr="00CB26F8">
        <w:rPr>
          <w:rFonts w:cs="Arial"/>
          <w:szCs w:val="24"/>
        </w:rPr>
        <w:t>The aims of specialised psychological interventions, alone or as part of a wider mult</w:t>
      </w:r>
      <w:r w:rsidR="00180871" w:rsidRPr="00CB26F8">
        <w:rPr>
          <w:rFonts w:cs="Arial"/>
          <w:szCs w:val="24"/>
        </w:rPr>
        <w:t>i-disciplinary network, are to:</w:t>
      </w:r>
    </w:p>
    <w:p w14:paraId="1AC6A429" w14:textId="77777777" w:rsidR="00180871" w:rsidRPr="00CB26F8" w:rsidRDefault="0076138F" w:rsidP="00753AAE">
      <w:pPr>
        <w:numPr>
          <w:ilvl w:val="0"/>
          <w:numId w:val="17"/>
        </w:numPr>
        <w:spacing w:after="120"/>
        <w:rPr>
          <w:rFonts w:cs="Arial"/>
          <w:b/>
          <w:szCs w:val="24"/>
        </w:rPr>
      </w:pPr>
      <w:r w:rsidRPr="00CB26F8">
        <w:rPr>
          <w:rFonts w:cs="Arial"/>
          <w:szCs w:val="24"/>
        </w:rPr>
        <w:t>Provide an opportunity to access affirmative support, information, skills and resources to facilitate and adjust to psychological, physical, relational, social and practical changes and to promote wellbeing</w:t>
      </w:r>
    </w:p>
    <w:p w14:paraId="51947AD5" w14:textId="77777777" w:rsidR="00180871" w:rsidRPr="00CB26F8" w:rsidRDefault="0076138F" w:rsidP="00753AAE">
      <w:pPr>
        <w:numPr>
          <w:ilvl w:val="0"/>
          <w:numId w:val="17"/>
        </w:numPr>
        <w:spacing w:after="120"/>
        <w:rPr>
          <w:rFonts w:cs="Arial"/>
          <w:b/>
          <w:szCs w:val="24"/>
        </w:rPr>
      </w:pPr>
      <w:r w:rsidRPr="00CB26F8">
        <w:rPr>
          <w:rFonts w:cs="Arial"/>
          <w:szCs w:val="24"/>
        </w:rPr>
        <w:t>To advise and/or provide access to effective interventions based on psychological assessment and collaborative formulation, adapted to the needs of the person(s)</w:t>
      </w:r>
    </w:p>
    <w:p w14:paraId="48391139" w14:textId="77777777" w:rsidR="00180871" w:rsidRPr="00CB26F8" w:rsidRDefault="0076138F" w:rsidP="00753AAE">
      <w:pPr>
        <w:numPr>
          <w:ilvl w:val="0"/>
          <w:numId w:val="17"/>
        </w:numPr>
        <w:spacing w:after="120"/>
        <w:rPr>
          <w:rFonts w:cs="Arial"/>
          <w:b/>
          <w:szCs w:val="24"/>
        </w:rPr>
      </w:pPr>
      <w:r w:rsidRPr="00CB26F8">
        <w:rPr>
          <w:rFonts w:cs="Arial"/>
          <w:szCs w:val="24"/>
        </w:rPr>
        <w:t>Provide an opportunity for clarity, hope and agency in the person’s particular experience and management of gender dysphoria</w:t>
      </w:r>
    </w:p>
    <w:p w14:paraId="50569B5C" w14:textId="77777777" w:rsidR="00180871" w:rsidRPr="00CB26F8" w:rsidRDefault="0076138F" w:rsidP="00180871">
      <w:pPr>
        <w:spacing w:after="120"/>
        <w:rPr>
          <w:rFonts w:cs="Arial"/>
          <w:b/>
          <w:szCs w:val="24"/>
        </w:rPr>
      </w:pPr>
      <w:r w:rsidRPr="00CB26F8">
        <w:rPr>
          <w:rFonts w:cs="Arial"/>
          <w:szCs w:val="24"/>
        </w:rPr>
        <w:t>The Provider will make available specific psychological interventions that are adapted to the needs of the individual based on psychological assessment</w:t>
      </w:r>
      <w:r w:rsidR="00180871" w:rsidRPr="00CB26F8">
        <w:rPr>
          <w:rFonts w:cs="Arial"/>
          <w:szCs w:val="24"/>
        </w:rPr>
        <w:t xml:space="preserve"> and collaborative formulation.</w:t>
      </w:r>
    </w:p>
    <w:p w14:paraId="25930897" w14:textId="77777777" w:rsidR="00180871" w:rsidRPr="00CB26F8" w:rsidRDefault="0076138F" w:rsidP="00180871">
      <w:pPr>
        <w:spacing w:after="120"/>
        <w:rPr>
          <w:rFonts w:cs="Arial"/>
          <w:b/>
          <w:szCs w:val="24"/>
        </w:rPr>
      </w:pPr>
      <w:r w:rsidRPr="00CB26F8">
        <w:rPr>
          <w:rFonts w:cs="Arial"/>
          <w:szCs w:val="24"/>
        </w:rPr>
        <w:t xml:space="preserve">Psychological interventions will not be offered routinely or considered mandatory, but instead with the consent of the individual and focussed on specific psychological needs. Psychological interventions will be delivered in line with those demonstrating good evidence in other areas of healthcare and in line with the guidelines of the </w:t>
      </w:r>
      <w:r w:rsidRPr="00CB26F8">
        <w:rPr>
          <w:rFonts w:cs="Arial"/>
          <w:i/>
          <w:szCs w:val="24"/>
        </w:rPr>
        <w:t>National Institute for Health and Care</w:t>
      </w:r>
      <w:r w:rsidRPr="00CB26F8">
        <w:rPr>
          <w:rFonts w:cs="Arial"/>
          <w:szCs w:val="24"/>
        </w:rPr>
        <w:t xml:space="preserve"> </w:t>
      </w:r>
      <w:r w:rsidRPr="00C246E6">
        <w:rPr>
          <w:rFonts w:cs="Arial"/>
          <w:i/>
          <w:szCs w:val="24"/>
        </w:rPr>
        <w:t>Excellence</w:t>
      </w:r>
      <w:r w:rsidRPr="00CB26F8">
        <w:rPr>
          <w:rFonts w:cs="Arial"/>
          <w:szCs w:val="24"/>
        </w:rPr>
        <w:t xml:space="preserve"> where they exist.</w:t>
      </w:r>
    </w:p>
    <w:p w14:paraId="14BD5F7A" w14:textId="77777777" w:rsidR="00180871" w:rsidRPr="00CB26F8" w:rsidRDefault="0076138F" w:rsidP="00180871">
      <w:pPr>
        <w:spacing w:after="120"/>
        <w:rPr>
          <w:rFonts w:cs="Arial"/>
          <w:b/>
          <w:szCs w:val="24"/>
        </w:rPr>
      </w:pPr>
      <w:r w:rsidRPr="00CB26F8">
        <w:rPr>
          <w:rFonts w:cs="Arial"/>
          <w:szCs w:val="24"/>
        </w:rPr>
        <w:t>Psychological interventions can be offered as a primary intervention, consecutively or concurrently to medical treatments, surgery or other specialised service network-based interventions where this is indicated.  This includes referral for psychological interventions post-operatively, whether planned or in response to need.</w:t>
      </w:r>
    </w:p>
    <w:p w14:paraId="40047DE6" w14:textId="77777777" w:rsidR="00180871" w:rsidRPr="00CB26F8" w:rsidRDefault="0076138F" w:rsidP="00180871">
      <w:pPr>
        <w:spacing w:after="120"/>
        <w:rPr>
          <w:rFonts w:cs="Arial"/>
          <w:b/>
          <w:szCs w:val="24"/>
        </w:rPr>
      </w:pPr>
      <w:r w:rsidRPr="00CB26F8">
        <w:rPr>
          <w:rFonts w:cs="Arial"/>
          <w:szCs w:val="24"/>
        </w:rPr>
        <w:t>Good practice for engaging in psychological interventions with transgender people has been published</w:t>
      </w:r>
      <w:r w:rsidRPr="00CB26F8">
        <w:rPr>
          <w:rFonts w:cs="Arial"/>
          <w:szCs w:val="24"/>
          <w:vertAlign w:val="superscript"/>
        </w:rPr>
        <w:footnoteReference w:id="6"/>
      </w:r>
      <w:r w:rsidRPr="00CB26F8">
        <w:rPr>
          <w:rFonts w:cs="Arial"/>
          <w:szCs w:val="24"/>
        </w:rPr>
        <w:t>. Providers will ensure adequate training, supervision, caseload management and support to ensure clinicians are competent and able to provide affirmative interventions.</w:t>
      </w:r>
    </w:p>
    <w:p w14:paraId="075EAB56" w14:textId="77777777" w:rsidR="00180871" w:rsidRPr="00CB26F8" w:rsidRDefault="00180871" w:rsidP="00180871">
      <w:pPr>
        <w:suppressAutoHyphens/>
        <w:spacing w:after="120"/>
        <w:jc w:val="both"/>
        <w:rPr>
          <w:rFonts w:cs="Arial"/>
          <w:b/>
          <w:szCs w:val="24"/>
        </w:rPr>
      </w:pPr>
    </w:p>
    <w:p w14:paraId="55DFC05B" w14:textId="77777777" w:rsidR="00180871" w:rsidRPr="00CB26F8" w:rsidRDefault="00180871" w:rsidP="00180871">
      <w:pPr>
        <w:suppressAutoHyphens/>
        <w:spacing w:after="120"/>
        <w:jc w:val="both"/>
        <w:rPr>
          <w:rFonts w:cs="Arial"/>
          <w:b/>
          <w:szCs w:val="24"/>
        </w:rPr>
      </w:pPr>
    </w:p>
    <w:p w14:paraId="03E35328" w14:textId="77777777" w:rsidR="00180871" w:rsidRPr="00CB26F8" w:rsidRDefault="00180871" w:rsidP="00180871">
      <w:pPr>
        <w:suppressAutoHyphens/>
        <w:spacing w:after="120"/>
        <w:jc w:val="both"/>
        <w:rPr>
          <w:rFonts w:cs="Arial"/>
          <w:b/>
          <w:szCs w:val="24"/>
        </w:rPr>
      </w:pPr>
    </w:p>
    <w:p w14:paraId="42F9CED1" w14:textId="77777777" w:rsidR="00180871" w:rsidRPr="00CB26F8" w:rsidRDefault="00180871" w:rsidP="00180871">
      <w:pPr>
        <w:suppressAutoHyphens/>
        <w:spacing w:after="120"/>
        <w:jc w:val="both"/>
        <w:rPr>
          <w:rFonts w:cs="Arial"/>
          <w:b/>
          <w:szCs w:val="24"/>
        </w:rPr>
      </w:pPr>
    </w:p>
    <w:p w14:paraId="048004FE" w14:textId="77777777" w:rsidR="00180871" w:rsidRPr="00CB26F8" w:rsidRDefault="00180871" w:rsidP="00180871">
      <w:pPr>
        <w:suppressAutoHyphens/>
        <w:spacing w:after="120"/>
        <w:jc w:val="both"/>
        <w:rPr>
          <w:rFonts w:cs="Arial"/>
          <w:b/>
          <w:szCs w:val="24"/>
        </w:rPr>
      </w:pPr>
    </w:p>
    <w:p w14:paraId="3E4C2850" w14:textId="77777777" w:rsidR="00954E07" w:rsidRDefault="00954E07" w:rsidP="00180871">
      <w:pPr>
        <w:suppressAutoHyphens/>
        <w:spacing w:after="120"/>
        <w:jc w:val="both"/>
        <w:rPr>
          <w:rFonts w:cs="Arial"/>
          <w:b/>
          <w:szCs w:val="24"/>
        </w:rPr>
      </w:pPr>
    </w:p>
    <w:p w14:paraId="0AB36D11" w14:textId="77777777" w:rsidR="00954E07" w:rsidRDefault="00954E07" w:rsidP="00180871">
      <w:pPr>
        <w:suppressAutoHyphens/>
        <w:spacing w:after="120"/>
        <w:jc w:val="both"/>
        <w:rPr>
          <w:rFonts w:cs="Arial"/>
          <w:b/>
          <w:szCs w:val="24"/>
        </w:rPr>
      </w:pPr>
    </w:p>
    <w:p w14:paraId="206BDD26" w14:textId="77777777" w:rsidR="00954E07" w:rsidRDefault="00954E07" w:rsidP="00180871">
      <w:pPr>
        <w:suppressAutoHyphens/>
        <w:spacing w:after="120"/>
        <w:jc w:val="both"/>
        <w:rPr>
          <w:rFonts w:cs="Arial"/>
          <w:b/>
          <w:szCs w:val="24"/>
        </w:rPr>
      </w:pPr>
    </w:p>
    <w:p w14:paraId="650FC894" w14:textId="77777777" w:rsidR="00954E07" w:rsidRDefault="00954E07" w:rsidP="00180871">
      <w:pPr>
        <w:suppressAutoHyphens/>
        <w:spacing w:after="120"/>
        <w:jc w:val="both"/>
        <w:rPr>
          <w:rFonts w:cs="Arial"/>
          <w:b/>
          <w:szCs w:val="24"/>
        </w:rPr>
      </w:pPr>
    </w:p>
    <w:p w14:paraId="298EC470" w14:textId="77777777" w:rsidR="00954E07" w:rsidRDefault="00954E07" w:rsidP="00180871">
      <w:pPr>
        <w:suppressAutoHyphens/>
        <w:spacing w:after="120"/>
        <w:jc w:val="both"/>
        <w:rPr>
          <w:rFonts w:cs="Arial"/>
          <w:b/>
          <w:szCs w:val="24"/>
        </w:rPr>
      </w:pPr>
    </w:p>
    <w:p w14:paraId="6512BB07" w14:textId="77777777" w:rsidR="00954E07" w:rsidRDefault="00954E07" w:rsidP="00180871">
      <w:pPr>
        <w:suppressAutoHyphens/>
        <w:spacing w:after="120"/>
        <w:jc w:val="both"/>
        <w:rPr>
          <w:rFonts w:cs="Arial"/>
          <w:b/>
          <w:szCs w:val="24"/>
        </w:rPr>
      </w:pPr>
    </w:p>
    <w:p w14:paraId="1A9DDA2E" w14:textId="77777777" w:rsidR="0045504F" w:rsidRPr="00ED694C" w:rsidRDefault="0045504F" w:rsidP="00180871">
      <w:pPr>
        <w:suppressAutoHyphens/>
        <w:spacing w:after="120"/>
        <w:jc w:val="both"/>
        <w:rPr>
          <w:rFonts w:cs="Arial"/>
          <w:b/>
          <w:szCs w:val="24"/>
        </w:rPr>
      </w:pPr>
      <w:r w:rsidRPr="00ED694C">
        <w:rPr>
          <w:rFonts w:cs="Arial"/>
          <w:b/>
          <w:szCs w:val="24"/>
        </w:rPr>
        <w:t xml:space="preserve">Appendix J: </w:t>
      </w:r>
      <w:r w:rsidR="00ED694C">
        <w:rPr>
          <w:rFonts w:cs="Arial"/>
          <w:b/>
          <w:szCs w:val="24"/>
        </w:rPr>
        <w:t>A</w:t>
      </w:r>
      <w:r w:rsidRPr="00ED694C">
        <w:rPr>
          <w:rFonts w:cs="Arial"/>
          <w:b/>
          <w:szCs w:val="24"/>
        </w:rPr>
        <w:t>rrangements for prescribing</w:t>
      </w:r>
      <w:r w:rsidR="00ED694C">
        <w:rPr>
          <w:rFonts w:cs="Arial"/>
          <w:b/>
          <w:szCs w:val="24"/>
        </w:rPr>
        <w:t xml:space="preserve"> endocrine treatments</w:t>
      </w:r>
    </w:p>
    <w:p w14:paraId="34C7D9FF" w14:textId="77777777" w:rsidR="00D611F1" w:rsidRDefault="00D611F1" w:rsidP="0045504F">
      <w:pPr>
        <w:spacing w:after="120"/>
        <w:rPr>
          <w:rFonts w:cs="Arial"/>
          <w:szCs w:val="24"/>
        </w:rPr>
      </w:pPr>
      <w:r w:rsidRPr="00D611F1">
        <w:rPr>
          <w:rFonts w:cs="Arial"/>
          <w:szCs w:val="24"/>
        </w:rPr>
        <w:t>Endocrine treatments may influence central nervous system function and cognition (thoughts and feelings) as well as sex-specific physical characteristics. They may augment physical interventions intended to modify secondary sex characteristics. They may mitigate the unwanted endocrine and metabolic effects of hypogonadism, which follow gonadectomy or the suppression of sex hormones produced by the body.</w:t>
      </w:r>
    </w:p>
    <w:p w14:paraId="7202E9D2" w14:textId="77777777" w:rsidR="0045504F" w:rsidRPr="00A563E7" w:rsidRDefault="0045504F" w:rsidP="0045504F">
      <w:pPr>
        <w:spacing w:after="120"/>
        <w:rPr>
          <w:rFonts w:cs="Arial"/>
          <w:szCs w:val="24"/>
        </w:rPr>
      </w:pPr>
      <w:r w:rsidRPr="00ED694C">
        <w:rPr>
          <w:rFonts w:cs="Arial"/>
          <w:szCs w:val="24"/>
        </w:rPr>
        <w:t xml:space="preserve">Endocrine and other pharmacological interventions may be recommended by a </w:t>
      </w:r>
      <w:r w:rsidR="00D611F1">
        <w:rPr>
          <w:rFonts w:cs="Arial"/>
          <w:szCs w:val="24"/>
        </w:rPr>
        <w:t xml:space="preserve">registered </w:t>
      </w:r>
      <w:r w:rsidRPr="00ED694C">
        <w:rPr>
          <w:rFonts w:cs="Arial"/>
          <w:szCs w:val="24"/>
        </w:rPr>
        <w:t xml:space="preserve">medical </w:t>
      </w:r>
      <w:r w:rsidR="00D611F1">
        <w:rPr>
          <w:rFonts w:cs="Arial"/>
          <w:szCs w:val="24"/>
        </w:rPr>
        <w:t xml:space="preserve">practitioner </w:t>
      </w:r>
      <w:r w:rsidRPr="00ED694C">
        <w:rPr>
          <w:rFonts w:cs="Arial"/>
          <w:szCs w:val="24"/>
        </w:rPr>
        <w:t>in the s</w:t>
      </w:r>
      <w:r w:rsidRPr="00A563E7">
        <w:rPr>
          <w:rFonts w:cs="Arial"/>
          <w:szCs w:val="24"/>
        </w:rPr>
        <w:t xml:space="preserve">pecialist multi-disciplinary </w:t>
      </w:r>
      <w:proofErr w:type="gramStart"/>
      <w:r w:rsidRPr="00A563E7">
        <w:rPr>
          <w:rFonts w:cs="Arial"/>
          <w:szCs w:val="24"/>
        </w:rPr>
        <w:t>team</w:t>
      </w:r>
      <w:proofErr w:type="gramEnd"/>
      <w:r w:rsidR="00EA4BE4">
        <w:rPr>
          <w:rFonts w:cs="Arial"/>
          <w:szCs w:val="24"/>
        </w:rPr>
        <w:t xml:space="preserve"> or the medical practitioner may decide to assume responsibility for prescribing for a time-limited period that is appropriate to the individual, before a transfer of clinical responsibility to the individual’s GP.</w:t>
      </w:r>
      <w:r w:rsidRPr="00A563E7">
        <w:rPr>
          <w:rFonts w:cs="Arial"/>
          <w:szCs w:val="24"/>
        </w:rPr>
        <w:t xml:space="preserve"> </w:t>
      </w:r>
      <w:r w:rsidR="00EA4BE4">
        <w:rPr>
          <w:rFonts w:cs="Arial"/>
          <w:szCs w:val="24"/>
        </w:rPr>
        <w:t xml:space="preserve">The interventions may be appropriate </w:t>
      </w:r>
      <w:r w:rsidRPr="00A563E7">
        <w:rPr>
          <w:rFonts w:cs="Arial"/>
          <w:szCs w:val="24"/>
        </w:rPr>
        <w:t>where they are essential for the purpose of harm reduction, and where they are in the individual’s best interest for reducing gender dysphoria, when assisting the individual in achieving gender expression congruent with their identity and consistent with their treatment goals. It is not a requirement for access to endocrine and other pharmacological interventions to undertake a change in social role.</w:t>
      </w:r>
    </w:p>
    <w:p w14:paraId="74D1037D" w14:textId="77777777" w:rsidR="0045504F" w:rsidRPr="0017346A" w:rsidRDefault="0045504F" w:rsidP="0045504F">
      <w:pPr>
        <w:spacing w:after="120"/>
        <w:rPr>
          <w:rFonts w:cs="Arial"/>
          <w:szCs w:val="24"/>
        </w:rPr>
      </w:pPr>
      <w:r w:rsidRPr="00715CAD">
        <w:rPr>
          <w:rFonts w:cs="Arial"/>
          <w:szCs w:val="24"/>
        </w:rPr>
        <w:t xml:space="preserve">The recommending medical practitioner will assess the risks, benefits and limitations of pharmacological interventions for the individual, and will ensure that that the individual meets the relevant eligibility criteria set out in the </w:t>
      </w:r>
      <w:r w:rsidRPr="007A02E8">
        <w:rPr>
          <w:rFonts w:cs="Arial"/>
          <w:i/>
          <w:szCs w:val="24"/>
        </w:rPr>
        <w:t>World Professional Association for Transgender Health Standards of Care (2011)</w:t>
      </w:r>
      <w:r w:rsidRPr="0017346A">
        <w:rPr>
          <w:rFonts w:cs="Arial"/>
          <w:szCs w:val="24"/>
        </w:rPr>
        <w:t>:</w:t>
      </w:r>
    </w:p>
    <w:p w14:paraId="117FC953" w14:textId="77777777" w:rsidR="0045504F" w:rsidRPr="00A61D17" w:rsidRDefault="0045504F" w:rsidP="0045504F">
      <w:pPr>
        <w:numPr>
          <w:ilvl w:val="0"/>
          <w:numId w:val="3"/>
        </w:numPr>
        <w:spacing w:after="120"/>
        <w:rPr>
          <w:rFonts w:cs="Arial"/>
          <w:szCs w:val="24"/>
        </w:rPr>
      </w:pPr>
      <w:r w:rsidRPr="00284605">
        <w:rPr>
          <w:rFonts w:cs="Arial"/>
          <w:szCs w:val="24"/>
        </w:rPr>
        <w:t>Persistent, well-documented g</w:t>
      </w:r>
      <w:r w:rsidRPr="00A61D17">
        <w:rPr>
          <w:rFonts w:cs="Arial"/>
          <w:szCs w:val="24"/>
        </w:rPr>
        <w:t>ender dysphoria</w:t>
      </w:r>
    </w:p>
    <w:p w14:paraId="6E5B32D1" w14:textId="77777777" w:rsidR="0045504F" w:rsidRPr="002D6839" w:rsidRDefault="0045504F" w:rsidP="0045504F">
      <w:pPr>
        <w:numPr>
          <w:ilvl w:val="0"/>
          <w:numId w:val="3"/>
        </w:numPr>
        <w:spacing w:after="120"/>
        <w:rPr>
          <w:rFonts w:cs="Arial"/>
          <w:szCs w:val="24"/>
        </w:rPr>
      </w:pPr>
      <w:r w:rsidRPr="002D6839">
        <w:rPr>
          <w:rFonts w:cs="Arial"/>
          <w:szCs w:val="24"/>
        </w:rPr>
        <w:t>Capacity to make a fully informed decision and to consent for treatment</w:t>
      </w:r>
    </w:p>
    <w:p w14:paraId="3BB96893" w14:textId="77777777" w:rsidR="0045504F" w:rsidRPr="00FE0B7F" w:rsidRDefault="0045504F" w:rsidP="0045504F">
      <w:pPr>
        <w:numPr>
          <w:ilvl w:val="0"/>
          <w:numId w:val="3"/>
        </w:numPr>
        <w:spacing w:after="120"/>
        <w:rPr>
          <w:rFonts w:cs="Arial"/>
          <w:szCs w:val="24"/>
        </w:rPr>
      </w:pPr>
      <w:r w:rsidRPr="00FE0B7F">
        <w:rPr>
          <w:rFonts w:cs="Arial"/>
          <w:szCs w:val="24"/>
        </w:rPr>
        <w:t>If significant medical or mental concerns are present, they must be reasonably well-controlled</w:t>
      </w:r>
    </w:p>
    <w:p w14:paraId="52ED9190" w14:textId="77777777" w:rsidR="0045504F" w:rsidRPr="00BE2058" w:rsidRDefault="0045504F" w:rsidP="0045504F">
      <w:pPr>
        <w:spacing w:after="120"/>
        <w:rPr>
          <w:rFonts w:cs="Arial"/>
          <w:szCs w:val="24"/>
        </w:rPr>
      </w:pPr>
      <w:r w:rsidRPr="00BE2058">
        <w:rPr>
          <w:rFonts w:cs="Arial"/>
          <w:szCs w:val="24"/>
        </w:rPr>
        <w:t xml:space="preserve">They will obtain written consent to the interventions under consideration from the </w:t>
      </w:r>
      <w:proofErr w:type="gramStart"/>
      <w:r w:rsidRPr="00BE2058">
        <w:rPr>
          <w:rFonts w:cs="Arial"/>
          <w:szCs w:val="24"/>
        </w:rPr>
        <w:t>individual, and</w:t>
      </w:r>
      <w:proofErr w:type="gramEnd"/>
      <w:r w:rsidRPr="00BE2058">
        <w:rPr>
          <w:rFonts w:cs="Arial"/>
          <w:szCs w:val="24"/>
        </w:rPr>
        <w:t xml:space="preserve"> provide a copy of the consent to the individual and their GP.</w:t>
      </w:r>
    </w:p>
    <w:p w14:paraId="7EF62A0F" w14:textId="77777777" w:rsidR="0045504F" w:rsidRPr="006118C1" w:rsidRDefault="005973E0" w:rsidP="0045504F">
      <w:pPr>
        <w:spacing w:after="120"/>
        <w:rPr>
          <w:rFonts w:cs="Arial"/>
          <w:szCs w:val="24"/>
        </w:rPr>
      </w:pPr>
      <w:r>
        <w:rPr>
          <w:rFonts w:cs="Arial"/>
          <w:szCs w:val="24"/>
        </w:rPr>
        <w:t xml:space="preserve">They will provide the </w:t>
      </w:r>
      <w:r w:rsidR="0045504F" w:rsidRPr="005973E0">
        <w:rPr>
          <w:rFonts w:cs="Arial"/>
          <w:szCs w:val="24"/>
        </w:rPr>
        <w:t xml:space="preserve">GP with patient-specific ‘prescribing guidance’, which will consist of </w:t>
      </w:r>
      <w:r w:rsidR="0045504F" w:rsidRPr="00BE2058">
        <w:rPr>
          <w:rFonts w:cs="Arial"/>
          <w:szCs w:val="24"/>
        </w:rPr>
        <w:t xml:space="preserve">a written treatment recommendation, and </w:t>
      </w:r>
      <w:proofErr w:type="gramStart"/>
      <w:r w:rsidR="0045504F" w:rsidRPr="00BE2058">
        <w:rPr>
          <w:rFonts w:cs="Arial"/>
          <w:szCs w:val="24"/>
        </w:rPr>
        <w:t>adequately-detailed</w:t>
      </w:r>
      <w:proofErr w:type="gramEnd"/>
      <w:r w:rsidR="0045504F" w:rsidRPr="00BE2058">
        <w:rPr>
          <w:rFonts w:cs="Arial"/>
          <w:szCs w:val="24"/>
        </w:rPr>
        <w:t xml:space="preserve"> information about necessary pre-treatment assessments, recommended preparations of medications, and advice on dosages, administration, initiation, duration of treatment, physical and laboratory mo</w:t>
      </w:r>
      <w:r w:rsidR="0045504F" w:rsidRPr="006118C1">
        <w:rPr>
          <w:rFonts w:cs="Arial"/>
          <w:szCs w:val="24"/>
        </w:rPr>
        <w:t>nitoring, interpretation of laboratory results and likely treatment effects.</w:t>
      </w:r>
    </w:p>
    <w:p w14:paraId="44B87F1B" w14:textId="77777777" w:rsidR="0045504F" w:rsidRPr="00ED694C" w:rsidRDefault="0045504F" w:rsidP="0045504F">
      <w:pPr>
        <w:spacing w:after="120"/>
        <w:rPr>
          <w:rFonts w:cs="Arial"/>
          <w:szCs w:val="24"/>
        </w:rPr>
      </w:pPr>
      <w:r w:rsidRPr="00105269">
        <w:rPr>
          <w:rFonts w:cs="Arial"/>
          <w:szCs w:val="24"/>
        </w:rPr>
        <w:t xml:space="preserve">Most recommendations will be for medications to be used outside the indications approved by the </w:t>
      </w:r>
      <w:r w:rsidRPr="006724F3">
        <w:rPr>
          <w:rFonts w:cs="Arial"/>
          <w:i/>
          <w:szCs w:val="24"/>
        </w:rPr>
        <w:t>Medicines and Healthcare Products Regulatory Agency</w:t>
      </w:r>
      <w:r w:rsidRPr="00870B80">
        <w:rPr>
          <w:rFonts w:cs="Arial"/>
          <w:szCs w:val="24"/>
        </w:rPr>
        <w:t xml:space="preserve">; the </w:t>
      </w:r>
      <w:r w:rsidRPr="00A32E63">
        <w:rPr>
          <w:rFonts w:cs="Arial"/>
          <w:i/>
          <w:szCs w:val="24"/>
        </w:rPr>
        <w:t>General Medical Council</w:t>
      </w:r>
      <w:r w:rsidRPr="00A32E63">
        <w:rPr>
          <w:rFonts w:cs="Arial"/>
          <w:szCs w:val="24"/>
        </w:rPr>
        <w:t xml:space="preserve"> ad</w:t>
      </w:r>
      <w:r w:rsidR="005973E0">
        <w:rPr>
          <w:rFonts w:cs="Arial"/>
          <w:szCs w:val="24"/>
        </w:rPr>
        <w:t xml:space="preserve">vises GPs </w:t>
      </w:r>
      <w:r w:rsidRPr="005973E0">
        <w:rPr>
          <w:rFonts w:cs="Arial"/>
          <w:szCs w:val="24"/>
        </w:rPr>
        <w:t>that they may prescribe ‘unlicensed medicines’ where this is necessary to meet the specific needs of the patient and where there is no suitably licensed medicine that will meet the patient’s need</w:t>
      </w:r>
      <w:r w:rsidRPr="00ED694C">
        <w:rPr>
          <w:rFonts w:cs="Arial"/>
          <w:szCs w:val="24"/>
          <w:vertAlign w:val="superscript"/>
        </w:rPr>
        <w:footnoteReference w:id="7"/>
      </w:r>
      <w:r w:rsidRPr="00ED694C">
        <w:rPr>
          <w:rFonts w:cs="Arial"/>
          <w:szCs w:val="24"/>
        </w:rPr>
        <w:t>.</w:t>
      </w:r>
    </w:p>
    <w:p w14:paraId="74F0F9CF" w14:textId="77777777" w:rsidR="0045504F" w:rsidRPr="00ED694C" w:rsidRDefault="0045504F" w:rsidP="0045504F">
      <w:pPr>
        <w:spacing w:after="120"/>
        <w:rPr>
          <w:rFonts w:cs="Arial"/>
          <w:szCs w:val="24"/>
        </w:rPr>
      </w:pPr>
      <w:r w:rsidRPr="00ED694C">
        <w:rPr>
          <w:rFonts w:cs="Arial"/>
          <w:szCs w:val="24"/>
        </w:rPr>
        <w:t>GPs will be given advice on dose titration and the introduction of additional pharmacological inte</w:t>
      </w:r>
      <w:r w:rsidR="00C468E9">
        <w:rPr>
          <w:rFonts w:cs="Arial"/>
          <w:szCs w:val="24"/>
        </w:rPr>
        <w:t>rventions by the provider. The P</w:t>
      </w:r>
      <w:r w:rsidRPr="00ED694C">
        <w:rPr>
          <w:rFonts w:cs="Arial"/>
          <w:szCs w:val="24"/>
        </w:rPr>
        <w:t>rovider will respond promptly to requests by GPs for advice regarding the interpretation of laboratory results and medication use.</w:t>
      </w:r>
    </w:p>
    <w:p w14:paraId="5BAC7395" w14:textId="77777777" w:rsidR="0045504F" w:rsidRPr="00ED694C" w:rsidRDefault="0045504F" w:rsidP="00ED694C">
      <w:pPr>
        <w:spacing w:after="120"/>
        <w:rPr>
          <w:rFonts w:cs="Arial"/>
          <w:szCs w:val="24"/>
        </w:rPr>
      </w:pPr>
      <w:r w:rsidRPr="00ED694C">
        <w:rPr>
          <w:rFonts w:cs="Arial"/>
          <w:szCs w:val="24"/>
        </w:rPr>
        <w:lastRenderedPageBreak/>
        <w:t>Individuals receiving endocrine and other pharmacological interventions recommen</w:t>
      </w:r>
      <w:r w:rsidR="00C468E9">
        <w:rPr>
          <w:rFonts w:cs="Arial"/>
          <w:szCs w:val="24"/>
        </w:rPr>
        <w:t>ded by the P</w:t>
      </w:r>
      <w:r w:rsidRPr="00ED694C">
        <w:rPr>
          <w:rFonts w:cs="Arial"/>
          <w:szCs w:val="24"/>
        </w:rPr>
        <w:t>rovider will have these reviewed by a medical practitioner fro</w:t>
      </w:r>
      <w:r w:rsidR="005973E0">
        <w:rPr>
          <w:rFonts w:cs="Arial"/>
          <w:szCs w:val="24"/>
        </w:rPr>
        <w:t xml:space="preserve">m the specialist </w:t>
      </w:r>
      <w:r w:rsidRPr="00A563E7">
        <w:rPr>
          <w:rFonts w:cs="Arial"/>
          <w:szCs w:val="24"/>
        </w:rPr>
        <w:t>multi-disciplinary team at least once in twelve months. More frequent review should be provided according to clinical need, particularly after treatment initiation or following significant changes in regimen.</w:t>
      </w:r>
      <w:r w:rsidR="00ED694C" w:rsidRPr="00ED694C">
        <w:t xml:space="preserve"> </w:t>
      </w:r>
      <w:r w:rsidR="00ED694C" w:rsidRPr="00ED694C">
        <w:rPr>
          <w:rFonts w:cs="Arial"/>
          <w:szCs w:val="24"/>
        </w:rPr>
        <w:t>The purpose of clinical monitoring during hormone use is to ass</w:t>
      </w:r>
      <w:r w:rsidR="00ED694C">
        <w:rPr>
          <w:rFonts w:cs="Arial"/>
          <w:szCs w:val="24"/>
        </w:rPr>
        <w:t>ess the degree of feminisation / masculinis</w:t>
      </w:r>
      <w:r w:rsidR="00ED694C" w:rsidRPr="00ED694C">
        <w:rPr>
          <w:rFonts w:cs="Arial"/>
          <w:szCs w:val="24"/>
        </w:rPr>
        <w:t>ation and the possible presence of adverse effects of medication.</w:t>
      </w:r>
    </w:p>
    <w:p w14:paraId="01DAFEDD" w14:textId="77777777" w:rsidR="0045504F" w:rsidRPr="00A563E7" w:rsidRDefault="0045504F" w:rsidP="0045504F">
      <w:pPr>
        <w:spacing w:after="120"/>
        <w:rPr>
          <w:rFonts w:cs="Arial"/>
          <w:szCs w:val="24"/>
        </w:rPr>
      </w:pPr>
      <w:r w:rsidRPr="00ED694C">
        <w:rPr>
          <w:rFonts w:cs="Arial"/>
          <w:szCs w:val="24"/>
        </w:rPr>
        <w:t>The Lead Clinician will provi</w:t>
      </w:r>
      <w:r w:rsidRPr="009D372F">
        <w:rPr>
          <w:rFonts w:cs="Arial"/>
          <w:szCs w:val="24"/>
        </w:rPr>
        <w:t>de the GP with written advice when the individual is discharged. They will give advice on the individual’s future need for endocrine and other pharmacological interventions, the anticipated duration of treatment (which may be life-long), the regimen recomm</w:t>
      </w:r>
      <w:r w:rsidRPr="00A563E7">
        <w:rPr>
          <w:rFonts w:cs="Arial"/>
          <w:szCs w:val="24"/>
        </w:rPr>
        <w:t>ended for on-going use, its intended effects and possible side-effects, long-term monitoring recommendations, and how they might access further information in the future.</w:t>
      </w:r>
    </w:p>
    <w:p w14:paraId="49700EB2" w14:textId="77777777" w:rsidR="0045504F" w:rsidRPr="00A563E7" w:rsidRDefault="0045504F" w:rsidP="0045504F">
      <w:pPr>
        <w:spacing w:after="120"/>
        <w:rPr>
          <w:rFonts w:cs="Arial"/>
          <w:szCs w:val="24"/>
        </w:rPr>
      </w:pPr>
      <w:r w:rsidRPr="00A563E7">
        <w:rPr>
          <w:rFonts w:cs="Arial"/>
          <w:i/>
          <w:szCs w:val="24"/>
        </w:rPr>
        <w:t>Medication for masculinisation</w:t>
      </w:r>
    </w:p>
    <w:p w14:paraId="6AF09529" w14:textId="77777777" w:rsidR="0045504F" w:rsidRPr="004D2EBB" w:rsidRDefault="0045504F" w:rsidP="00753AAE">
      <w:pPr>
        <w:numPr>
          <w:ilvl w:val="0"/>
          <w:numId w:val="4"/>
        </w:numPr>
        <w:spacing w:after="120"/>
        <w:rPr>
          <w:rFonts w:cs="Arial"/>
          <w:szCs w:val="24"/>
        </w:rPr>
      </w:pPr>
      <w:r w:rsidRPr="00A563E7">
        <w:rPr>
          <w:rFonts w:cs="Arial"/>
          <w:szCs w:val="24"/>
        </w:rPr>
        <w:t>Testosterone preparations (includes testosterone injec</w:t>
      </w:r>
      <w:r w:rsidRPr="004D2EBB">
        <w:rPr>
          <w:rFonts w:cs="Arial"/>
          <w:szCs w:val="24"/>
        </w:rPr>
        <w:t>tions and transdermal gels)</w:t>
      </w:r>
    </w:p>
    <w:p w14:paraId="2A973637" w14:textId="77777777" w:rsidR="0045504F" w:rsidRPr="00DF5160" w:rsidRDefault="0045504F" w:rsidP="00753AAE">
      <w:pPr>
        <w:numPr>
          <w:ilvl w:val="0"/>
          <w:numId w:val="4"/>
        </w:numPr>
        <w:spacing w:after="120"/>
        <w:rPr>
          <w:rFonts w:cs="Arial"/>
          <w:szCs w:val="24"/>
        </w:rPr>
      </w:pPr>
      <w:r w:rsidRPr="00DF5160">
        <w:rPr>
          <w:rFonts w:cs="Arial"/>
          <w:szCs w:val="24"/>
        </w:rPr>
        <w:t xml:space="preserve">Medications to suppress hypothalamic-pituitary-gonadal activity and menstruation </w:t>
      </w:r>
    </w:p>
    <w:p w14:paraId="06079A40" w14:textId="77777777" w:rsidR="0045504F" w:rsidRPr="00715CAD" w:rsidRDefault="0045504F" w:rsidP="0045504F">
      <w:pPr>
        <w:spacing w:after="120"/>
        <w:rPr>
          <w:rFonts w:cs="Arial"/>
          <w:szCs w:val="24"/>
        </w:rPr>
      </w:pPr>
      <w:r w:rsidRPr="004951FD">
        <w:rPr>
          <w:rFonts w:cs="Arial"/>
          <w:i/>
          <w:szCs w:val="24"/>
        </w:rPr>
        <w:t>Medication for feminisation</w:t>
      </w:r>
    </w:p>
    <w:p w14:paraId="6CB53A8D" w14:textId="77777777" w:rsidR="0045504F" w:rsidRPr="00284605" w:rsidRDefault="0045504F" w:rsidP="00753AAE">
      <w:pPr>
        <w:numPr>
          <w:ilvl w:val="0"/>
          <w:numId w:val="19"/>
        </w:numPr>
        <w:spacing w:after="120"/>
        <w:rPr>
          <w:rFonts w:cs="Arial"/>
          <w:szCs w:val="24"/>
        </w:rPr>
      </w:pPr>
      <w:r w:rsidRPr="007A02E8">
        <w:rPr>
          <w:rFonts w:cs="Arial"/>
          <w:szCs w:val="24"/>
        </w:rPr>
        <w:t>Estradiol preparations at doses necessary to achieve serum estradiol levels typical of a pre-menopausal woman. (includes oral estradiol, and tr</w:t>
      </w:r>
      <w:r w:rsidRPr="0017346A">
        <w:rPr>
          <w:rFonts w:cs="Arial"/>
          <w:szCs w:val="24"/>
        </w:rPr>
        <w:t>ansdermal estradiol as patches and gels</w:t>
      </w:r>
      <w:r w:rsidRPr="00284605">
        <w:rPr>
          <w:rFonts w:cs="Arial"/>
          <w:szCs w:val="24"/>
        </w:rPr>
        <w:t>; transdermal estradiol preparations should be offered to people over 40; ethinylestradiol will not be recommended)</w:t>
      </w:r>
    </w:p>
    <w:p w14:paraId="7F9420FD" w14:textId="77777777" w:rsidR="0045504F" w:rsidRPr="002D6839" w:rsidRDefault="0045504F" w:rsidP="00753AAE">
      <w:pPr>
        <w:numPr>
          <w:ilvl w:val="0"/>
          <w:numId w:val="19"/>
        </w:numPr>
        <w:spacing w:after="120"/>
        <w:rPr>
          <w:rFonts w:cs="Arial"/>
          <w:szCs w:val="24"/>
        </w:rPr>
      </w:pPr>
      <w:r w:rsidRPr="00A61D17">
        <w:rPr>
          <w:rFonts w:cs="Arial"/>
          <w:szCs w:val="24"/>
        </w:rPr>
        <w:t>Medications to suppress hypothalamic-pituitary-g</w:t>
      </w:r>
      <w:r w:rsidRPr="002D6839">
        <w:rPr>
          <w:rFonts w:cs="Arial"/>
          <w:szCs w:val="24"/>
        </w:rPr>
        <w:t>onadal activity and endogenous testosterone release (includes gonadotropin releasing hormone analogues and 5-alpha reductase inhibitors)</w:t>
      </w:r>
    </w:p>
    <w:p w14:paraId="70C28E28" w14:textId="77777777" w:rsidR="0045504F" w:rsidRPr="00FE0B7F" w:rsidRDefault="0045504F" w:rsidP="00753AAE">
      <w:pPr>
        <w:numPr>
          <w:ilvl w:val="0"/>
          <w:numId w:val="19"/>
        </w:numPr>
        <w:spacing w:after="120"/>
        <w:rPr>
          <w:rFonts w:cs="Arial"/>
          <w:szCs w:val="24"/>
        </w:rPr>
      </w:pPr>
      <w:r w:rsidRPr="00FE0B7F">
        <w:rPr>
          <w:rFonts w:cs="Arial"/>
          <w:szCs w:val="24"/>
        </w:rPr>
        <w:t>Ornithine decarboxylase inhibitors may be recommended as an adjunct to facial hair reduction interventions.</w:t>
      </w:r>
    </w:p>
    <w:p w14:paraId="72D4854C" w14:textId="77777777" w:rsidR="0045504F" w:rsidRPr="00BE2058" w:rsidRDefault="0045504F" w:rsidP="0045504F">
      <w:pPr>
        <w:spacing w:after="120"/>
        <w:rPr>
          <w:rFonts w:cs="Arial"/>
          <w:szCs w:val="24"/>
        </w:rPr>
      </w:pPr>
      <w:r w:rsidRPr="00FE0B7F">
        <w:rPr>
          <w:rFonts w:cs="Arial"/>
          <w:szCs w:val="24"/>
        </w:rPr>
        <w:t>An individu</w:t>
      </w:r>
      <w:r w:rsidRPr="00541415">
        <w:rPr>
          <w:rFonts w:cs="Arial"/>
          <w:szCs w:val="24"/>
        </w:rPr>
        <w:t>al being significantly overweight increases their risk of adverse effects and complications related to treatment with estradiol and medications that block the effects of testosterone. There is strong evidence that an individual’s risk of thrombosis increases as their Body Mass Index (BMI) increases. Consensus opinion amongst specialist medical practitioners is that individuals with a BMI of 40 or more should lose weight before using such hormone therapies. Whilst a BMI greater than 40 is not exclusion to th</w:t>
      </w:r>
      <w:r w:rsidRPr="00BE2058">
        <w:rPr>
          <w:rFonts w:cs="Arial"/>
          <w:szCs w:val="24"/>
        </w:rPr>
        <w:t>is treatment, hormone therapy should only be recommended following an individualised discussion of risk, possible adverse effects and possible impacts on final treatment outcome.</w:t>
      </w:r>
    </w:p>
    <w:p w14:paraId="5E0A9CAF" w14:textId="77777777" w:rsidR="0045504F" w:rsidRPr="00105269" w:rsidRDefault="0045504F" w:rsidP="0045504F">
      <w:pPr>
        <w:spacing w:after="120"/>
        <w:rPr>
          <w:rFonts w:cs="Arial"/>
          <w:szCs w:val="24"/>
        </w:rPr>
      </w:pPr>
      <w:r w:rsidRPr="006118C1">
        <w:rPr>
          <w:rFonts w:cs="Arial"/>
          <w:szCs w:val="24"/>
        </w:rPr>
        <w:t>There is strong evidence that an individual’s risk of thrombosis is increased if they smoke, particularly if they are treated with estradiol. Consensus opinion amongst specialist medical practitioners is</w:t>
      </w:r>
      <w:r w:rsidRPr="00105269">
        <w:rPr>
          <w:rFonts w:cs="Arial"/>
          <w:szCs w:val="24"/>
        </w:rPr>
        <w:t xml:space="preserve"> that individuals who smoke should desist whilst using hormone therapies, and particularly if they are treated with estradiol. Whilst smoking is not an exclusion to access to this treatment, hormone therapy should only be recommended following an individualised discussion of risk, possible adverse effects and possible impacts on final treatment outcome.</w:t>
      </w:r>
    </w:p>
    <w:p w14:paraId="5829CAF3" w14:textId="77777777" w:rsidR="00286B48" w:rsidRDefault="00286B48" w:rsidP="00180871">
      <w:pPr>
        <w:suppressAutoHyphens/>
        <w:spacing w:after="120"/>
        <w:jc w:val="both"/>
        <w:rPr>
          <w:rFonts w:cs="Arial"/>
          <w:b/>
          <w:szCs w:val="24"/>
          <w:u w:val="single"/>
        </w:rPr>
        <w:sectPr w:rsidR="00286B48" w:rsidSect="001E5F6F">
          <w:pgSz w:w="11906" w:h="16838"/>
          <w:pgMar w:top="1440" w:right="1440" w:bottom="1440" w:left="1440" w:header="708" w:footer="708" w:gutter="0"/>
          <w:cols w:space="708"/>
          <w:docGrid w:linePitch="360"/>
        </w:sectPr>
      </w:pPr>
    </w:p>
    <w:p w14:paraId="565BC343" w14:textId="77777777" w:rsidR="00286B48" w:rsidRDefault="00286B48" w:rsidP="00286B48">
      <w:pPr>
        <w:pStyle w:val="NormalWeb"/>
        <w:rPr>
          <w:lang w:eastAsia="en-GB"/>
        </w:rPr>
      </w:pPr>
      <w:r>
        <w:rPr>
          <w:rFonts w:ascii="Arial" w:hAnsi="Arial" w:cs="Arial"/>
          <w:b/>
          <w:bCs/>
        </w:rPr>
        <w:lastRenderedPageBreak/>
        <w:t xml:space="preserve">Appendix K: Future arrangements for prescribing and monitoring endocrine treatments </w:t>
      </w:r>
    </w:p>
    <w:p w14:paraId="195ECC44" w14:textId="77777777" w:rsidR="00286B48" w:rsidRDefault="00286B48" w:rsidP="00286B48">
      <w:pPr>
        <w:pStyle w:val="NormalWeb"/>
      </w:pPr>
      <w:r>
        <w:rPr>
          <w:rFonts w:ascii="ArialMT" w:hAnsi="ArialMT"/>
        </w:rPr>
        <w:t xml:space="preserve">NHS England has published </w:t>
      </w:r>
      <w:r>
        <w:rPr>
          <w:rFonts w:ascii="ArialMT" w:hAnsi="ArialMT"/>
          <w:color w:val="0260BF"/>
        </w:rPr>
        <w:t xml:space="preserve">guidance </w:t>
      </w:r>
      <w:r>
        <w:rPr>
          <w:rFonts w:ascii="ArialMT" w:hAnsi="ArialMT"/>
        </w:rPr>
        <w:t xml:space="preserve">called “Responsibility for Prescribing Between Primary and Secondary / Tertiary Care” (2018). This guidance describes the responsibilities of all professionals involved in prescribing for patients whose care is transferred from a specialist team to primary care, and to provide support in developing shared care agreements. </w:t>
      </w:r>
    </w:p>
    <w:p w14:paraId="64CF07E5" w14:textId="77777777" w:rsidR="00286B48" w:rsidRDefault="00286B48" w:rsidP="00286B48">
      <w:pPr>
        <w:pStyle w:val="NormalWeb"/>
      </w:pPr>
      <w:r>
        <w:rPr>
          <w:rFonts w:ascii="ArialMT" w:hAnsi="ArialMT"/>
        </w:rPr>
        <w:t xml:space="preserve">In accordance with this guidance, future versions of this service specification will describe that a transfer of clinical responsibility from a Gender Dysphoria Clinic to primary care should only be considered where the individual’s clinical condition is stable or predictable, and that the Gender Dysphoria Clinic will assume and retain responsibility for providing prescriptions and for monitoring until the GP has agreed to a transfer of responsibilities through a documented shared care agreement for the individual. From then </w:t>
      </w:r>
      <w:proofErr w:type="gramStart"/>
      <w:r>
        <w:rPr>
          <w:rFonts w:ascii="ArialMT" w:hAnsi="ArialMT"/>
        </w:rPr>
        <w:t>on</w:t>
      </w:r>
      <w:proofErr w:type="gramEnd"/>
      <w:r>
        <w:rPr>
          <w:rFonts w:ascii="ArialMT" w:hAnsi="ArialMT"/>
        </w:rPr>
        <w:t xml:space="preserve"> the individual will obtain prescriptions from the GP, who will be supported by the Gender Dysphoria Clinic as appropriate to the individual’s needs. </w:t>
      </w:r>
    </w:p>
    <w:p w14:paraId="756EC90F" w14:textId="77777777" w:rsidR="00286B48" w:rsidRDefault="00286B48" w:rsidP="00286B48">
      <w:pPr>
        <w:pStyle w:val="NormalWeb"/>
      </w:pPr>
      <w:r>
        <w:rPr>
          <w:rFonts w:ascii="ArialMT" w:hAnsi="ArialMT"/>
        </w:rPr>
        <w:t xml:space="preserve">When, in the future, the service specification is amended as </w:t>
      </w:r>
      <w:proofErr w:type="gramStart"/>
      <w:r>
        <w:rPr>
          <w:rFonts w:ascii="ArialMT" w:hAnsi="ArialMT"/>
        </w:rPr>
        <w:t>described,</w:t>
      </w:r>
      <w:proofErr w:type="gramEnd"/>
      <w:r>
        <w:rPr>
          <w:rFonts w:ascii="ArialMT" w:hAnsi="ArialMT"/>
        </w:rPr>
        <w:t xml:space="preserve"> organisations who are contracted to deliver services of a Gender Dysphoria Clinic will be engaged by NHS England in the joint formation of a phased implementation plan, including identification of resource implications. </w:t>
      </w:r>
    </w:p>
    <w:p w14:paraId="362441BB" w14:textId="77777777" w:rsidR="00286B48" w:rsidRDefault="00286B48" w:rsidP="00425521">
      <w:pPr>
        <w:spacing w:after="120"/>
        <w:rPr>
          <w:b/>
          <w:szCs w:val="24"/>
          <w:lang w:eastAsia="x-none"/>
        </w:rPr>
      </w:pPr>
    </w:p>
    <w:p w14:paraId="27FA7163" w14:textId="77777777" w:rsidR="00286B48" w:rsidRDefault="00286B48" w:rsidP="00425521">
      <w:pPr>
        <w:spacing w:after="120"/>
        <w:rPr>
          <w:b/>
          <w:szCs w:val="24"/>
          <w:lang w:eastAsia="x-none"/>
        </w:rPr>
      </w:pPr>
    </w:p>
    <w:p w14:paraId="4DDC9D42" w14:textId="77777777" w:rsidR="00286B48" w:rsidRDefault="00286B48" w:rsidP="00425521">
      <w:pPr>
        <w:spacing w:after="120"/>
        <w:rPr>
          <w:b/>
          <w:szCs w:val="24"/>
          <w:lang w:eastAsia="x-none"/>
        </w:rPr>
      </w:pPr>
    </w:p>
    <w:p w14:paraId="2389D2F5" w14:textId="77777777" w:rsidR="00286B48" w:rsidRDefault="00286B48" w:rsidP="00425521">
      <w:pPr>
        <w:spacing w:after="120"/>
        <w:rPr>
          <w:b/>
          <w:szCs w:val="24"/>
          <w:lang w:eastAsia="x-none"/>
        </w:rPr>
      </w:pPr>
    </w:p>
    <w:p w14:paraId="796EBCA5" w14:textId="77777777" w:rsidR="00286B48" w:rsidRDefault="00286B48" w:rsidP="00425521">
      <w:pPr>
        <w:spacing w:after="120"/>
        <w:rPr>
          <w:b/>
          <w:szCs w:val="24"/>
          <w:lang w:eastAsia="x-none"/>
        </w:rPr>
      </w:pPr>
    </w:p>
    <w:p w14:paraId="2847F643" w14:textId="77777777" w:rsidR="00286B48" w:rsidRDefault="00286B48" w:rsidP="00425521">
      <w:pPr>
        <w:spacing w:after="120"/>
        <w:rPr>
          <w:b/>
          <w:szCs w:val="24"/>
          <w:lang w:eastAsia="x-none"/>
        </w:rPr>
      </w:pPr>
    </w:p>
    <w:p w14:paraId="6BBF269A" w14:textId="77777777" w:rsidR="00286B48" w:rsidRDefault="00286B48" w:rsidP="00425521">
      <w:pPr>
        <w:spacing w:after="120"/>
        <w:rPr>
          <w:b/>
          <w:szCs w:val="24"/>
          <w:lang w:eastAsia="x-none"/>
        </w:rPr>
      </w:pPr>
    </w:p>
    <w:p w14:paraId="1F38DFFA" w14:textId="77777777" w:rsidR="00286B48" w:rsidRDefault="00286B48" w:rsidP="00425521">
      <w:pPr>
        <w:spacing w:after="120"/>
        <w:rPr>
          <w:b/>
          <w:szCs w:val="24"/>
          <w:lang w:eastAsia="x-none"/>
        </w:rPr>
      </w:pPr>
    </w:p>
    <w:p w14:paraId="63F54160" w14:textId="77777777" w:rsidR="00286B48" w:rsidRDefault="00286B48" w:rsidP="00425521">
      <w:pPr>
        <w:spacing w:after="120"/>
        <w:rPr>
          <w:b/>
          <w:szCs w:val="24"/>
          <w:lang w:eastAsia="x-none"/>
        </w:rPr>
      </w:pPr>
    </w:p>
    <w:p w14:paraId="52D9EB9F" w14:textId="77777777" w:rsidR="00286B48" w:rsidRDefault="00286B48" w:rsidP="00425521">
      <w:pPr>
        <w:spacing w:after="120"/>
        <w:rPr>
          <w:b/>
          <w:szCs w:val="24"/>
          <w:lang w:eastAsia="x-none"/>
        </w:rPr>
      </w:pPr>
    </w:p>
    <w:p w14:paraId="0D31143F" w14:textId="77777777" w:rsidR="00286B48" w:rsidRDefault="00286B48" w:rsidP="00425521">
      <w:pPr>
        <w:spacing w:after="120"/>
        <w:rPr>
          <w:b/>
          <w:szCs w:val="24"/>
          <w:lang w:eastAsia="x-none"/>
        </w:rPr>
      </w:pPr>
    </w:p>
    <w:p w14:paraId="2EE2746D" w14:textId="77777777" w:rsidR="00286B48" w:rsidRDefault="00286B48" w:rsidP="00425521">
      <w:pPr>
        <w:spacing w:after="120"/>
        <w:rPr>
          <w:b/>
          <w:szCs w:val="24"/>
          <w:lang w:eastAsia="x-none"/>
        </w:rPr>
      </w:pPr>
    </w:p>
    <w:p w14:paraId="409954A3" w14:textId="77777777" w:rsidR="00286B48" w:rsidRDefault="00286B48" w:rsidP="00425521">
      <w:pPr>
        <w:spacing w:after="120"/>
        <w:rPr>
          <w:b/>
          <w:szCs w:val="24"/>
          <w:lang w:eastAsia="x-none"/>
        </w:rPr>
      </w:pPr>
    </w:p>
    <w:p w14:paraId="5550BF4A" w14:textId="77777777" w:rsidR="00286B48" w:rsidRDefault="00286B48" w:rsidP="00425521">
      <w:pPr>
        <w:spacing w:after="120"/>
        <w:rPr>
          <w:b/>
          <w:szCs w:val="24"/>
          <w:lang w:eastAsia="x-none"/>
        </w:rPr>
      </w:pPr>
    </w:p>
    <w:p w14:paraId="15C75E11" w14:textId="77777777" w:rsidR="00286B48" w:rsidRDefault="00286B48" w:rsidP="00425521">
      <w:pPr>
        <w:spacing w:after="120"/>
        <w:rPr>
          <w:b/>
          <w:szCs w:val="24"/>
          <w:lang w:eastAsia="x-none"/>
        </w:rPr>
        <w:sectPr w:rsidR="00286B48" w:rsidSect="00286B48">
          <w:footerReference w:type="default" r:id="rId16"/>
          <w:pgSz w:w="11906" w:h="16838"/>
          <w:pgMar w:top="1440" w:right="1440" w:bottom="1440" w:left="1440" w:header="708" w:footer="708" w:gutter="0"/>
          <w:cols w:space="708"/>
          <w:docGrid w:linePitch="360"/>
        </w:sectPr>
      </w:pPr>
    </w:p>
    <w:p w14:paraId="1C706009" w14:textId="77777777" w:rsidR="00425521" w:rsidRPr="00425521" w:rsidRDefault="00286B48" w:rsidP="00425521">
      <w:pPr>
        <w:spacing w:after="120"/>
        <w:rPr>
          <w:b/>
          <w:szCs w:val="24"/>
          <w:lang w:eastAsia="x-none"/>
        </w:rPr>
      </w:pPr>
      <w:r>
        <w:rPr>
          <w:b/>
          <w:szCs w:val="24"/>
          <w:lang w:eastAsia="x-none"/>
        </w:rPr>
        <w:lastRenderedPageBreak/>
        <w:t>Appendix L: Q</w:t>
      </w:r>
      <w:r w:rsidR="00954E07">
        <w:rPr>
          <w:b/>
          <w:szCs w:val="24"/>
          <w:lang w:eastAsia="x-none"/>
        </w:rPr>
        <w:t>uality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240"/>
        <w:gridCol w:w="2284"/>
        <w:gridCol w:w="1393"/>
        <w:gridCol w:w="1497"/>
        <w:gridCol w:w="1412"/>
        <w:gridCol w:w="1175"/>
        <w:gridCol w:w="2365"/>
      </w:tblGrid>
      <w:tr w:rsidR="00425521" w:rsidRPr="00346EF6" w14:paraId="5EC97A8B" w14:textId="77777777" w:rsidTr="00F45445">
        <w:trPr>
          <w:trHeight w:val="1125"/>
        </w:trPr>
        <w:tc>
          <w:tcPr>
            <w:tcW w:w="1123" w:type="dxa"/>
            <w:shd w:val="clear" w:color="auto" w:fill="auto"/>
          </w:tcPr>
          <w:p w14:paraId="1E20F30B" w14:textId="77777777" w:rsidR="00425521" w:rsidRPr="00346EF6" w:rsidRDefault="00425521" w:rsidP="00F45445">
            <w:pPr>
              <w:spacing w:after="120"/>
              <w:rPr>
                <w:rFonts w:cs="Arial"/>
                <w:b/>
                <w:szCs w:val="24"/>
              </w:rPr>
            </w:pPr>
            <w:r w:rsidRPr="00365196">
              <w:rPr>
                <w:rFonts w:cs="Arial"/>
                <w:b/>
                <w:szCs w:val="24"/>
              </w:rPr>
              <w:t> Number</w:t>
            </w:r>
          </w:p>
        </w:tc>
        <w:tc>
          <w:tcPr>
            <w:tcW w:w="2240" w:type="dxa"/>
            <w:shd w:val="clear" w:color="auto" w:fill="auto"/>
          </w:tcPr>
          <w:p w14:paraId="7118A231" w14:textId="77777777" w:rsidR="00425521" w:rsidRPr="00346EF6" w:rsidRDefault="00425521" w:rsidP="00F45445">
            <w:pPr>
              <w:spacing w:after="120"/>
              <w:rPr>
                <w:rFonts w:cs="Arial"/>
                <w:szCs w:val="24"/>
              </w:rPr>
            </w:pPr>
            <w:r w:rsidRPr="00365196">
              <w:rPr>
                <w:rFonts w:cs="Arial"/>
                <w:b/>
                <w:szCs w:val="24"/>
              </w:rPr>
              <w:t> Indicator</w:t>
            </w:r>
          </w:p>
        </w:tc>
        <w:tc>
          <w:tcPr>
            <w:tcW w:w="2284" w:type="dxa"/>
            <w:shd w:val="clear" w:color="auto" w:fill="auto"/>
          </w:tcPr>
          <w:p w14:paraId="591330A7" w14:textId="77777777" w:rsidR="00425521" w:rsidRPr="00346EF6" w:rsidRDefault="00425521" w:rsidP="00F45445">
            <w:pPr>
              <w:spacing w:after="120"/>
              <w:rPr>
                <w:rFonts w:cs="Arial"/>
                <w:szCs w:val="24"/>
              </w:rPr>
            </w:pPr>
            <w:r w:rsidRPr="00365196">
              <w:rPr>
                <w:rFonts w:cs="Arial"/>
                <w:b/>
                <w:szCs w:val="24"/>
              </w:rPr>
              <w:t>Descriptor</w:t>
            </w:r>
          </w:p>
        </w:tc>
        <w:tc>
          <w:tcPr>
            <w:tcW w:w="1393" w:type="dxa"/>
            <w:shd w:val="clear" w:color="auto" w:fill="auto"/>
          </w:tcPr>
          <w:p w14:paraId="503E6470" w14:textId="77777777" w:rsidR="00425521" w:rsidRPr="00346EF6" w:rsidRDefault="00425521" w:rsidP="00F45445">
            <w:pPr>
              <w:spacing w:after="120"/>
              <w:rPr>
                <w:rFonts w:cs="Arial"/>
                <w:szCs w:val="24"/>
              </w:rPr>
            </w:pPr>
            <w:r w:rsidRPr="00365196">
              <w:rPr>
                <w:rFonts w:cs="Arial"/>
                <w:b/>
                <w:szCs w:val="24"/>
              </w:rPr>
              <w:t>Notes</w:t>
            </w:r>
          </w:p>
        </w:tc>
        <w:tc>
          <w:tcPr>
            <w:tcW w:w="1485" w:type="dxa"/>
            <w:shd w:val="clear" w:color="auto" w:fill="auto"/>
          </w:tcPr>
          <w:p w14:paraId="049FFA80" w14:textId="77777777" w:rsidR="00425521" w:rsidRPr="00346EF6" w:rsidRDefault="00425521" w:rsidP="00F45445">
            <w:pPr>
              <w:spacing w:after="120"/>
              <w:rPr>
                <w:rFonts w:cs="Arial"/>
                <w:szCs w:val="24"/>
              </w:rPr>
            </w:pPr>
            <w:r w:rsidRPr="00365196">
              <w:rPr>
                <w:rFonts w:cs="Arial"/>
                <w:b/>
                <w:szCs w:val="24"/>
              </w:rPr>
              <w:t>Evidence documents</w:t>
            </w:r>
          </w:p>
        </w:tc>
        <w:tc>
          <w:tcPr>
            <w:tcW w:w="1412" w:type="dxa"/>
            <w:shd w:val="clear" w:color="auto" w:fill="auto"/>
          </w:tcPr>
          <w:p w14:paraId="0859C3DD" w14:textId="77777777" w:rsidR="00425521" w:rsidRPr="00346EF6" w:rsidRDefault="00425521" w:rsidP="00F45445">
            <w:pPr>
              <w:spacing w:after="120"/>
              <w:rPr>
                <w:rFonts w:cs="Arial"/>
                <w:szCs w:val="24"/>
              </w:rPr>
            </w:pPr>
            <w:r w:rsidRPr="00365196">
              <w:rPr>
                <w:rFonts w:cs="Arial"/>
                <w:b/>
                <w:szCs w:val="24"/>
              </w:rPr>
              <w:t> Data source</w:t>
            </w:r>
          </w:p>
        </w:tc>
        <w:tc>
          <w:tcPr>
            <w:tcW w:w="1175" w:type="dxa"/>
            <w:shd w:val="clear" w:color="auto" w:fill="auto"/>
          </w:tcPr>
          <w:p w14:paraId="76BBB412" w14:textId="77777777" w:rsidR="00425521" w:rsidRPr="00346EF6" w:rsidRDefault="00425521" w:rsidP="00F45445">
            <w:pPr>
              <w:spacing w:after="120"/>
              <w:rPr>
                <w:rFonts w:cs="Arial"/>
                <w:szCs w:val="24"/>
              </w:rPr>
            </w:pPr>
            <w:r w:rsidRPr="00365196">
              <w:rPr>
                <w:rFonts w:cs="Arial"/>
                <w:b/>
                <w:szCs w:val="24"/>
              </w:rPr>
              <w:t> Domain</w:t>
            </w:r>
          </w:p>
        </w:tc>
        <w:tc>
          <w:tcPr>
            <w:tcW w:w="2365" w:type="dxa"/>
            <w:shd w:val="clear" w:color="auto" w:fill="auto"/>
            <w:noWrap/>
          </w:tcPr>
          <w:p w14:paraId="19F81EFC" w14:textId="77777777" w:rsidR="00425521" w:rsidRPr="00346EF6" w:rsidRDefault="00425521" w:rsidP="00F45445">
            <w:pPr>
              <w:spacing w:after="120"/>
              <w:rPr>
                <w:rFonts w:cs="Arial"/>
                <w:szCs w:val="24"/>
              </w:rPr>
            </w:pPr>
            <w:r w:rsidRPr="00365196">
              <w:rPr>
                <w:rFonts w:cs="Arial"/>
                <w:b/>
                <w:szCs w:val="24"/>
              </w:rPr>
              <w:t>CQC question </w:t>
            </w:r>
          </w:p>
        </w:tc>
      </w:tr>
      <w:tr w:rsidR="00425521" w:rsidRPr="00346EF6" w14:paraId="082E2CB0" w14:textId="77777777" w:rsidTr="00F45445">
        <w:trPr>
          <w:trHeight w:val="341"/>
        </w:trPr>
        <w:tc>
          <w:tcPr>
            <w:tcW w:w="1123" w:type="dxa"/>
            <w:shd w:val="clear" w:color="auto" w:fill="auto"/>
          </w:tcPr>
          <w:p w14:paraId="726F0DE5" w14:textId="77777777" w:rsidR="00425521" w:rsidRPr="00346EF6" w:rsidRDefault="00425521" w:rsidP="00F45445">
            <w:pPr>
              <w:spacing w:after="120"/>
              <w:rPr>
                <w:rFonts w:cs="Arial"/>
                <w:b/>
                <w:szCs w:val="24"/>
              </w:rPr>
            </w:pPr>
          </w:p>
        </w:tc>
        <w:tc>
          <w:tcPr>
            <w:tcW w:w="12354" w:type="dxa"/>
            <w:gridSpan w:val="7"/>
            <w:shd w:val="clear" w:color="auto" w:fill="auto"/>
          </w:tcPr>
          <w:p w14:paraId="2974FD82" w14:textId="77777777" w:rsidR="00425521" w:rsidRPr="00346EF6" w:rsidRDefault="00425521" w:rsidP="00F45445">
            <w:pPr>
              <w:spacing w:after="120"/>
              <w:rPr>
                <w:rFonts w:cs="Arial"/>
                <w:szCs w:val="24"/>
              </w:rPr>
            </w:pPr>
            <w:r w:rsidRPr="00346EF6">
              <w:rPr>
                <w:rFonts w:cs="Arial"/>
                <w:b/>
                <w:szCs w:val="24"/>
              </w:rPr>
              <w:t>Clinical Outcomes - quantitative data where possible using national data need to minimise the burden</w:t>
            </w:r>
          </w:p>
        </w:tc>
      </w:tr>
      <w:tr w:rsidR="00425521" w:rsidRPr="00346EF6" w14:paraId="1DEB2CD7" w14:textId="77777777" w:rsidTr="00F45445">
        <w:trPr>
          <w:trHeight w:val="1125"/>
        </w:trPr>
        <w:tc>
          <w:tcPr>
            <w:tcW w:w="1123" w:type="dxa"/>
            <w:shd w:val="clear" w:color="auto" w:fill="auto"/>
            <w:hideMark/>
          </w:tcPr>
          <w:p w14:paraId="6E7501D9" w14:textId="77777777" w:rsidR="00425521" w:rsidRPr="00346EF6" w:rsidRDefault="00425521" w:rsidP="00F45445">
            <w:pPr>
              <w:spacing w:after="120"/>
              <w:rPr>
                <w:rFonts w:cs="Arial"/>
                <w:b/>
                <w:szCs w:val="24"/>
              </w:rPr>
            </w:pPr>
            <w:r w:rsidRPr="00346EF6">
              <w:rPr>
                <w:rFonts w:cs="Arial"/>
                <w:b/>
                <w:szCs w:val="24"/>
              </w:rPr>
              <w:t>101</w:t>
            </w:r>
          </w:p>
        </w:tc>
        <w:tc>
          <w:tcPr>
            <w:tcW w:w="2240" w:type="dxa"/>
            <w:shd w:val="clear" w:color="auto" w:fill="auto"/>
            <w:hideMark/>
          </w:tcPr>
          <w:p w14:paraId="19D4DE97" w14:textId="77777777" w:rsidR="00425521" w:rsidRPr="00346EF6" w:rsidRDefault="00425521" w:rsidP="00F45445">
            <w:pPr>
              <w:spacing w:after="120"/>
              <w:rPr>
                <w:rFonts w:cs="Arial"/>
                <w:szCs w:val="24"/>
              </w:rPr>
            </w:pPr>
            <w:r w:rsidRPr="00346EF6">
              <w:rPr>
                <w:rFonts w:cs="Arial"/>
                <w:szCs w:val="24"/>
              </w:rPr>
              <w:t>% of referrals acknowledged in writing by the provider with the referrer and indi</w:t>
            </w:r>
            <w:r>
              <w:rPr>
                <w:rFonts w:cs="Arial"/>
                <w:szCs w:val="24"/>
              </w:rPr>
              <w:t>vidual within 14 calendar days</w:t>
            </w:r>
          </w:p>
        </w:tc>
        <w:tc>
          <w:tcPr>
            <w:tcW w:w="2284" w:type="dxa"/>
            <w:shd w:val="clear" w:color="auto" w:fill="auto"/>
            <w:hideMark/>
          </w:tcPr>
          <w:p w14:paraId="166C0AF8" w14:textId="77777777" w:rsidR="00425521" w:rsidRPr="00346EF6" w:rsidRDefault="00425521" w:rsidP="00F45445">
            <w:pPr>
              <w:spacing w:after="120"/>
              <w:rPr>
                <w:rFonts w:cs="Arial"/>
                <w:szCs w:val="24"/>
              </w:rPr>
            </w:pPr>
            <w:r w:rsidRPr="00346EF6">
              <w:rPr>
                <w:rFonts w:cs="Arial"/>
                <w:szCs w:val="24"/>
              </w:rPr>
              <w:t>% of referrals acknowledged in writing by the provider with the referrer and indi</w:t>
            </w:r>
            <w:r>
              <w:rPr>
                <w:rFonts w:cs="Arial"/>
                <w:szCs w:val="24"/>
              </w:rPr>
              <w:t>vidual within 14 calendar days</w:t>
            </w:r>
          </w:p>
        </w:tc>
        <w:tc>
          <w:tcPr>
            <w:tcW w:w="1393" w:type="dxa"/>
            <w:shd w:val="clear" w:color="auto" w:fill="auto"/>
            <w:hideMark/>
          </w:tcPr>
          <w:p w14:paraId="49ED83D7"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37E7AE57"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4E181446"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0CCEA503" w14:textId="77777777" w:rsidR="00425521" w:rsidRPr="00346EF6" w:rsidRDefault="00425521" w:rsidP="00F45445">
            <w:pPr>
              <w:spacing w:after="120"/>
              <w:rPr>
                <w:rFonts w:cs="Arial"/>
                <w:szCs w:val="24"/>
              </w:rPr>
            </w:pPr>
            <w:r w:rsidRPr="00346EF6">
              <w:rPr>
                <w:rFonts w:cs="Arial"/>
                <w:szCs w:val="24"/>
              </w:rPr>
              <w:t>4</w:t>
            </w:r>
          </w:p>
        </w:tc>
        <w:tc>
          <w:tcPr>
            <w:tcW w:w="2365" w:type="dxa"/>
            <w:shd w:val="clear" w:color="auto" w:fill="auto"/>
            <w:noWrap/>
            <w:hideMark/>
          </w:tcPr>
          <w:p w14:paraId="6E9D26EC" w14:textId="77777777" w:rsidR="00425521" w:rsidRPr="00346EF6" w:rsidRDefault="00425521" w:rsidP="00F45445">
            <w:pPr>
              <w:spacing w:after="120"/>
              <w:rPr>
                <w:rFonts w:cs="Arial"/>
                <w:szCs w:val="24"/>
              </w:rPr>
            </w:pPr>
            <w:r w:rsidRPr="00346EF6">
              <w:rPr>
                <w:rFonts w:cs="Arial"/>
                <w:szCs w:val="24"/>
              </w:rPr>
              <w:t>Well-led, effective</w:t>
            </w:r>
          </w:p>
        </w:tc>
      </w:tr>
      <w:tr w:rsidR="00425521" w:rsidRPr="00346EF6" w14:paraId="6B967E75" w14:textId="77777777" w:rsidTr="00F45445">
        <w:trPr>
          <w:trHeight w:val="2280"/>
        </w:trPr>
        <w:tc>
          <w:tcPr>
            <w:tcW w:w="1123" w:type="dxa"/>
            <w:shd w:val="clear" w:color="auto" w:fill="auto"/>
            <w:hideMark/>
          </w:tcPr>
          <w:p w14:paraId="6223E661" w14:textId="77777777" w:rsidR="00425521" w:rsidRPr="00346EF6" w:rsidRDefault="00425521" w:rsidP="00F45445">
            <w:pPr>
              <w:spacing w:after="120"/>
              <w:rPr>
                <w:rFonts w:cs="Arial"/>
                <w:b/>
                <w:szCs w:val="24"/>
              </w:rPr>
            </w:pPr>
            <w:r w:rsidRPr="00346EF6">
              <w:rPr>
                <w:rFonts w:cs="Arial"/>
                <w:b/>
                <w:szCs w:val="24"/>
              </w:rPr>
              <w:t>102</w:t>
            </w:r>
          </w:p>
        </w:tc>
        <w:tc>
          <w:tcPr>
            <w:tcW w:w="2240" w:type="dxa"/>
            <w:shd w:val="clear" w:color="auto" w:fill="auto"/>
            <w:hideMark/>
          </w:tcPr>
          <w:p w14:paraId="164A12DF" w14:textId="77777777" w:rsidR="00425521" w:rsidRPr="00346EF6" w:rsidRDefault="00425521" w:rsidP="00F45445">
            <w:pPr>
              <w:spacing w:after="120"/>
              <w:rPr>
                <w:rFonts w:cs="Arial"/>
                <w:szCs w:val="24"/>
              </w:rPr>
            </w:pPr>
            <w:r w:rsidRPr="00346EF6">
              <w:rPr>
                <w:rFonts w:cs="Arial"/>
                <w:szCs w:val="24"/>
              </w:rPr>
              <w:t>% of referrals received where the</w:t>
            </w:r>
            <w:r>
              <w:rPr>
                <w:rFonts w:cs="Arial"/>
                <w:szCs w:val="24"/>
              </w:rPr>
              <w:t xml:space="preserve"> diagnosis after assessment is </w:t>
            </w:r>
            <w:r w:rsidRPr="00346EF6">
              <w:rPr>
                <w:rFonts w:cs="Arial"/>
                <w:szCs w:val="24"/>
              </w:rPr>
              <w:t>eithe</w:t>
            </w:r>
            <w:r>
              <w:rPr>
                <w:rFonts w:cs="Arial"/>
                <w:szCs w:val="24"/>
              </w:rPr>
              <w:t>r Gender Dysphoria (as per DSM-V</w:t>
            </w:r>
            <w:r w:rsidRPr="00346EF6">
              <w:rPr>
                <w:rFonts w:cs="Arial"/>
                <w:szCs w:val="24"/>
              </w:rPr>
              <w:t>) or Gender Incongruence</w:t>
            </w:r>
            <w:r>
              <w:rPr>
                <w:rFonts w:cs="Arial"/>
                <w:szCs w:val="24"/>
              </w:rPr>
              <w:t xml:space="preserve"> (as per ICD-11 when available)</w:t>
            </w:r>
          </w:p>
        </w:tc>
        <w:tc>
          <w:tcPr>
            <w:tcW w:w="2284" w:type="dxa"/>
            <w:shd w:val="clear" w:color="auto" w:fill="auto"/>
            <w:hideMark/>
          </w:tcPr>
          <w:p w14:paraId="32C2C39D" w14:textId="77777777" w:rsidR="00425521" w:rsidRPr="00346EF6" w:rsidRDefault="00425521" w:rsidP="00F45445">
            <w:pPr>
              <w:spacing w:after="120"/>
              <w:rPr>
                <w:rFonts w:cs="Arial"/>
                <w:szCs w:val="24"/>
              </w:rPr>
            </w:pPr>
            <w:r w:rsidRPr="00346EF6">
              <w:rPr>
                <w:rFonts w:cs="Arial"/>
                <w:szCs w:val="24"/>
              </w:rPr>
              <w:t>% of referrals received where the diagnosis after assessment does not fulfi</w:t>
            </w:r>
            <w:r>
              <w:rPr>
                <w:rFonts w:cs="Arial"/>
                <w:szCs w:val="24"/>
              </w:rPr>
              <w:t xml:space="preserve">l the diagnostic criteria of </w:t>
            </w:r>
            <w:r w:rsidRPr="00346EF6">
              <w:rPr>
                <w:rFonts w:cs="Arial"/>
                <w:szCs w:val="24"/>
              </w:rPr>
              <w:t>eithe</w:t>
            </w:r>
            <w:r>
              <w:rPr>
                <w:rFonts w:cs="Arial"/>
                <w:szCs w:val="24"/>
              </w:rPr>
              <w:t>r Gender Dysphoria (as per DMS-V</w:t>
            </w:r>
            <w:r w:rsidRPr="00346EF6">
              <w:rPr>
                <w:rFonts w:cs="Arial"/>
                <w:szCs w:val="24"/>
              </w:rPr>
              <w:t xml:space="preserve">) or Gender Incongruence </w:t>
            </w:r>
            <w:r>
              <w:rPr>
                <w:rFonts w:cs="Arial"/>
                <w:szCs w:val="24"/>
              </w:rPr>
              <w:t>(as per ICD-11 when available); a</w:t>
            </w:r>
            <w:r w:rsidRPr="00346EF6">
              <w:rPr>
                <w:rFonts w:cs="Arial"/>
                <w:szCs w:val="24"/>
              </w:rPr>
              <w:t xml:space="preserve">nd </w:t>
            </w:r>
            <w:proofErr w:type="gramStart"/>
            <w:r w:rsidRPr="00346EF6">
              <w:rPr>
                <w:rFonts w:cs="Arial"/>
                <w:szCs w:val="24"/>
              </w:rPr>
              <w:t>therefore</w:t>
            </w:r>
            <w:proofErr w:type="gramEnd"/>
            <w:r w:rsidRPr="00346EF6">
              <w:rPr>
                <w:rFonts w:cs="Arial"/>
                <w:szCs w:val="24"/>
              </w:rPr>
              <w:t xml:space="preserve"> the patient does n</w:t>
            </w:r>
            <w:r>
              <w:rPr>
                <w:rFonts w:cs="Arial"/>
                <w:szCs w:val="24"/>
              </w:rPr>
              <w:t xml:space="preserve">ot require services from the </w:t>
            </w:r>
            <w:r w:rsidRPr="00346EF6">
              <w:rPr>
                <w:rFonts w:cs="Arial"/>
                <w:szCs w:val="24"/>
              </w:rPr>
              <w:t>service</w:t>
            </w:r>
          </w:p>
        </w:tc>
        <w:tc>
          <w:tcPr>
            <w:tcW w:w="1393" w:type="dxa"/>
            <w:shd w:val="clear" w:color="auto" w:fill="auto"/>
            <w:hideMark/>
          </w:tcPr>
          <w:p w14:paraId="74D72643"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7CE3DC6F"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4C8C9784"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489D9345" w14:textId="77777777" w:rsidR="00425521" w:rsidRPr="00346EF6" w:rsidRDefault="00425521" w:rsidP="00F45445">
            <w:pPr>
              <w:spacing w:after="120"/>
              <w:rPr>
                <w:rFonts w:cs="Arial"/>
                <w:szCs w:val="24"/>
              </w:rPr>
            </w:pPr>
            <w:r w:rsidRPr="00346EF6">
              <w:rPr>
                <w:rFonts w:cs="Arial"/>
                <w:szCs w:val="24"/>
              </w:rPr>
              <w:t>2, 4</w:t>
            </w:r>
          </w:p>
        </w:tc>
        <w:tc>
          <w:tcPr>
            <w:tcW w:w="2365" w:type="dxa"/>
            <w:shd w:val="clear" w:color="auto" w:fill="auto"/>
            <w:hideMark/>
          </w:tcPr>
          <w:p w14:paraId="6027A29E" w14:textId="77777777" w:rsidR="00425521" w:rsidRPr="00346EF6" w:rsidRDefault="00425521" w:rsidP="00F45445">
            <w:pPr>
              <w:spacing w:after="120"/>
              <w:rPr>
                <w:rFonts w:cs="Arial"/>
                <w:szCs w:val="24"/>
              </w:rPr>
            </w:pPr>
            <w:r w:rsidRPr="00346EF6">
              <w:rPr>
                <w:rFonts w:cs="Arial"/>
                <w:szCs w:val="24"/>
              </w:rPr>
              <w:t>Effective, caring, responsive</w:t>
            </w:r>
          </w:p>
        </w:tc>
      </w:tr>
      <w:tr w:rsidR="00425521" w:rsidRPr="00346EF6" w14:paraId="5824401C" w14:textId="77777777" w:rsidTr="00F45445">
        <w:trPr>
          <w:trHeight w:val="1530"/>
        </w:trPr>
        <w:tc>
          <w:tcPr>
            <w:tcW w:w="1123" w:type="dxa"/>
            <w:shd w:val="clear" w:color="auto" w:fill="auto"/>
            <w:hideMark/>
          </w:tcPr>
          <w:p w14:paraId="077E4066" w14:textId="77777777" w:rsidR="00425521" w:rsidRPr="00346EF6" w:rsidRDefault="00425521" w:rsidP="00F45445">
            <w:pPr>
              <w:spacing w:after="120"/>
              <w:rPr>
                <w:rFonts w:cs="Arial"/>
                <w:b/>
                <w:szCs w:val="24"/>
              </w:rPr>
            </w:pPr>
            <w:r w:rsidRPr="00346EF6">
              <w:rPr>
                <w:rFonts w:cs="Arial"/>
                <w:b/>
                <w:szCs w:val="24"/>
              </w:rPr>
              <w:lastRenderedPageBreak/>
              <w:t>103</w:t>
            </w:r>
          </w:p>
        </w:tc>
        <w:tc>
          <w:tcPr>
            <w:tcW w:w="2240" w:type="dxa"/>
            <w:shd w:val="clear" w:color="auto" w:fill="auto"/>
            <w:hideMark/>
          </w:tcPr>
          <w:p w14:paraId="11794021" w14:textId="77777777" w:rsidR="00425521" w:rsidRPr="00346EF6" w:rsidRDefault="00425521" w:rsidP="00F45445">
            <w:pPr>
              <w:spacing w:after="120"/>
              <w:rPr>
                <w:rFonts w:cs="Arial"/>
                <w:szCs w:val="24"/>
              </w:rPr>
            </w:pPr>
            <w:r w:rsidRPr="00346EF6">
              <w:rPr>
                <w:rFonts w:cs="Arial"/>
                <w:szCs w:val="24"/>
              </w:rPr>
              <w:t>% of pa</w:t>
            </w:r>
            <w:r>
              <w:rPr>
                <w:rFonts w:cs="Arial"/>
                <w:szCs w:val="24"/>
              </w:rPr>
              <w:t>tients receiving more than two assessment consultations</w:t>
            </w:r>
          </w:p>
        </w:tc>
        <w:tc>
          <w:tcPr>
            <w:tcW w:w="2284" w:type="dxa"/>
            <w:shd w:val="clear" w:color="auto" w:fill="auto"/>
            <w:hideMark/>
          </w:tcPr>
          <w:p w14:paraId="739DF8DE" w14:textId="77777777" w:rsidR="00425521" w:rsidRPr="00346EF6" w:rsidRDefault="00425521" w:rsidP="00425521">
            <w:pPr>
              <w:spacing w:after="120"/>
              <w:rPr>
                <w:rFonts w:cs="Arial"/>
                <w:szCs w:val="24"/>
              </w:rPr>
            </w:pPr>
            <w:r w:rsidRPr="00346EF6">
              <w:rPr>
                <w:rFonts w:cs="Arial"/>
                <w:szCs w:val="24"/>
              </w:rPr>
              <w:t>% of patients receiving more than two diagnostic assessment consultations before a complet</w:t>
            </w:r>
            <w:r>
              <w:rPr>
                <w:rFonts w:cs="Arial"/>
                <w:szCs w:val="24"/>
              </w:rPr>
              <w:t>e management plan could be made</w:t>
            </w:r>
          </w:p>
        </w:tc>
        <w:tc>
          <w:tcPr>
            <w:tcW w:w="1393" w:type="dxa"/>
            <w:shd w:val="clear" w:color="auto" w:fill="auto"/>
            <w:hideMark/>
          </w:tcPr>
          <w:p w14:paraId="0E615669"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473CB410"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7ED4B34F"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40EFD450" w14:textId="77777777" w:rsidR="00425521" w:rsidRPr="00346EF6" w:rsidRDefault="00425521" w:rsidP="00F45445">
            <w:pPr>
              <w:spacing w:after="120"/>
              <w:rPr>
                <w:rFonts w:cs="Arial"/>
                <w:szCs w:val="24"/>
              </w:rPr>
            </w:pPr>
            <w:r w:rsidRPr="00346EF6">
              <w:rPr>
                <w:rFonts w:cs="Arial"/>
                <w:szCs w:val="24"/>
              </w:rPr>
              <w:t>2, 4</w:t>
            </w:r>
          </w:p>
        </w:tc>
        <w:tc>
          <w:tcPr>
            <w:tcW w:w="2365" w:type="dxa"/>
            <w:shd w:val="clear" w:color="auto" w:fill="auto"/>
            <w:hideMark/>
          </w:tcPr>
          <w:p w14:paraId="4BB0C938" w14:textId="77777777" w:rsidR="00425521" w:rsidRPr="00346EF6" w:rsidRDefault="00425521" w:rsidP="00F45445">
            <w:pPr>
              <w:spacing w:after="120"/>
              <w:rPr>
                <w:rFonts w:cs="Arial"/>
                <w:szCs w:val="24"/>
              </w:rPr>
            </w:pPr>
            <w:r w:rsidRPr="00346EF6">
              <w:rPr>
                <w:rFonts w:cs="Arial"/>
                <w:szCs w:val="24"/>
              </w:rPr>
              <w:t>Effective, caring, responsive</w:t>
            </w:r>
          </w:p>
        </w:tc>
      </w:tr>
      <w:tr w:rsidR="00425521" w:rsidRPr="00346EF6" w14:paraId="567C5B36" w14:textId="77777777" w:rsidTr="00F45445">
        <w:trPr>
          <w:trHeight w:val="1530"/>
        </w:trPr>
        <w:tc>
          <w:tcPr>
            <w:tcW w:w="1123" w:type="dxa"/>
            <w:shd w:val="clear" w:color="auto" w:fill="auto"/>
            <w:hideMark/>
          </w:tcPr>
          <w:p w14:paraId="01BC590D" w14:textId="77777777" w:rsidR="00425521" w:rsidRPr="00346EF6" w:rsidRDefault="00425521" w:rsidP="00F45445">
            <w:pPr>
              <w:spacing w:after="120"/>
              <w:rPr>
                <w:rFonts w:cs="Arial"/>
                <w:b/>
                <w:szCs w:val="24"/>
              </w:rPr>
            </w:pPr>
            <w:r w:rsidRPr="00346EF6">
              <w:rPr>
                <w:rFonts w:cs="Arial"/>
                <w:b/>
                <w:szCs w:val="24"/>
              </w:rPr>
              <w:t>104</w:t>
            </w:r>
          </w:p>
        </w:tc>
        <w:tc>
          <w:tcPr>
            <w:tcW w:w="2240" w:type="dxa"/>
            <w:shd w:val="clear" w:color="auto" w:fill="auto"/>
            <w:hideMark/>
          </w:tcPr>
          <w:p w14:paraId="31B10A43" w14:textId="77777777" w:rsidR="00425521" w:rsidRPr="00346EF6" w:rsidRDefault="00425521" w:rsidP="00F45445">
            <w:pPr>
              <w:spacing w:after="120"/>
              <w:rPr>
                <w:rFonts w:cs="Arial"/>
                <w:szCs w:val="24"/>
              </w:rPr>
            </w:pPr>
            <w:r w:rsidRPr="00346EF6">
              <w:rPr>
                <w:rFonts w:cs="Arial"/>
                <w:szCs w:val="24"/>
              </w:rPr>
              <w:t xml:space="preserve">% of patients who do not </w:t>
            </w:r>
            <w:proofErr w:type="gramStart"/>
            <w:r w:rsidRPr="00346EF6">
              <w:rPr>
                <w:rFonts w:cs="Arial"/>
                <w:szCs w:val="24"/>
              </w:rPr>
              <w:t>enter into</w:t>
            </w:r>
            <w:proofErr w:type="gramEnd"/>
            <w:r w:rsidRPr="00346EF6">
              <w:rPr>
                <w:rFonts w:cs="Arial"/>
                <w:szCs w:val="24"/>
              </w:rPr>
              <w:t xml:space="preserve"> the treatment programme following two assessment consultations</w:t>
            </w:r>
          </w:p>
        </w:tc>
        <w:tc>
          <w:tcPr>
            <w:tcW w:w="2284" w:type="dxa"/>
            <w:shd w:val="clear" w:color="auto" w:fill="auto"/>
            <w:hideMark/>
          </w:tcPr>
          <w:p w14:paraId="6FE36B34" w14:textId="77777777" w:rsidR="00425521" w:rsidRPr="00346EF6" w:rsidRDefault="00425521" w:rsidP="00425521">
            <w:pPr>
              <w:spacing w:after="120"/>
              <w:rPr>
                <w:rFonts w:cs="Arial"/>
                <w:szCs w:val="24"/>
              </w:rPr>
            </w:pPr>
            <w:r w:rsidRPr="00346EF6">
              <w:rPr>
                <w:rFonts w:cs="Arial"/>
                <w:szCs w:val="24"/>
              </w:rPr>
              <w:t xml:space="preserve">% of patients who do not </w:t>
            </w:r>
            <w:proofErr w:type="gramStart"/>
            <w:r w:rsidRPr="00346EF6">
              <w:rPr>
                <w:rFonts w:cs="Arial"/>
                <w:szCs w:val="24"/>
              </w:rPr>
              <w:t>enter into</w:t>
            </w:r>
            <w:proofErr w:type="gramEnd"/>
            <w:r w:rsidRPr="00346EF6">
              <w:rPr>
                <w:rFonts w:cs="Arial"/>
                <w:szCs w:val="24"/>
              </w:rPr>
              <w:t xml:space="preserve"> the treatment progra</w:t>
            </w:r>
            <w:r>
              <w:rPr>
                <w:rFonts w:cs="Arial"/>
                <w:szCs w:val="24"/>
              </w:rPr>
              <w:t>mme following two consultations</w:t>
            </w:r>
          </w:p>
        </w:tc>
        <w:tc>
          <w:tcPr>
            <w:tcW w:w="1393" w:type="dxa"/>
            <w:shd w:val="clear" w:color="auto" w:fill="auto"/>
            <w:hideMark/>
          </w:tcPr>
          <w:p w14:paraId="0294A9F2"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1C486CBA"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217FDDD0"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416D2E8F" w14:textId="77777777" w:rsidR="00425521" w:rsidRPr="00346EF6" w:rsidRDefault="00425521" w:rsidP="00F45445">
            <w:pPr>
              <w:spacing w:after="120"/>
              <w:rPr>
                <w:rFonts w:cs="Arial"/>
                <w:szCs w:val="24"/>
              </w:rPr>
            </w:pPr>
            <w:r w:rsidRPr="00346EF6">
              <w:rPr>
                <w:rFonts w:cs="Arial"/>
                <w:szCs w:val="24"/>
              </w:rPr>
              <w:t>2, 4</w:t>
            </w:r>
          </w:p>
        </w:tc>
        <w:tc>
          <w:tcPr>
            <w:tcW w:w="2365" w:type="dxa"/>
            <w:shd w:val="clear" w:color="auto" w:fill="auto"/>
            <w:hideMark/>
          </w:tcPr>
          <w:p w14:paraId="149FEE0E" w14:textId="77777777" w:rsidR="00425521" w:rsidRPr="00346EF6" w:rsidRDefault="00425521" w:rsidP="00F45445">
            <w:pPr>
              <w:spacing w:after="120"/>
              <w:rPr>
                <w:rFonts w:cs="Arial"/>
                <w:szCs w:val="24"/>
              </w:rPr>
            </w:pPr>
            <w:r w:rsidRPr="00346EF6">
              <w:rPr>
                <w:rFonts w:cs="Arial"/>
                <w:szCs w:val="24"/>
              </w:rPr>
              <w:t>Effective, caring, responsive</w:t>
            </w:r>
          </w:p>
        </w:tc>
      </w:tr>
      <w:tr w:rsidR="00425521" w:rsidRPr="00346EF6" w14:paraId="21654C73" w14:textId="77777777" w:rsidTr="00F45445">
        <w:trPr>
          <w:trHeight w:val="1155"/>
        </w:trPr>
        <w:tc>
          <w:tcPr>
            <w:tcW w:w="1123" w:type="dxa"/>
            <w:shd w:val="clear" w:color="auto" w:fill="auto"/>
            <w:hideMark/>
          </w:tcPr>
          <w:p w14:paraId="7BC4156F" w14:textId="77777777" w:rsidR="00425521" w:rsidRPr="00346EF6" w:rsidRDefault="00425521" w:rsidP="00F45445">
            <w:pPr>
              <w:spacing w:after="120"/>
              <w:rPr>
                <w:rFonts w:cs="Arial"/>
                <w:b/>
                <w:szCs w:val="24"/>
              </w:rPr>
            </w:pPr>
            <w:r w:rsidRPr="00346EF6">
              <w:rPr>
                <w:rFonts w:cs="Arial"/>
                <w:b/>
                <w:szCs w:val="24"/>
              </w:rPr>
              <w:t>105</w:t>
            </w:r>
          </w:p>
        </w:tc>
        <w:tc>
          <w:tcPr>
            <w:tcW w:w="2240" w:type="dxa"/>
            <w:shd w:val="clear" w:color="auto" w:fill="auto"/>
            <w:hideMark/>
          </w:tcPr>
          <w:p w14:paraId="2C7735F7" w14:textId="77777777" w:rsidR="00425521" w:rsidRPr="00346EF6" w:rsidRDefault="00425521" w:rsidP="00F45445">
            <w:pPr>
              <w:spacing w:after="120"/>
              <w:rPr>
                <w:rFonts w:cs="Arial"/>
                <w:szCs w:val="24"/>
              </w:rPr>
            </w:pPr>
            <w:r w:rsidRPr="00346EF6">
              <w:rPr>
                <w:rFonts w:cs="Arial"/>
                <w:szCs w:val="24"/>
              </w:rPr>
              <w:t>Numbe</w:t>
            </w:r>
            <w:r>
              <w:rPr>
                <w:rFonts w:cs="Arial"/>
                <w:szCs w:val="24"/>
              </w:rPr>
              <w:t xml:space="preserve">r of patients </w:t>
            </w:r>
            <w:r w:rsidRPr="00346EF6">
              <w:rPr>
                <w:rFonts w:cs="Arial"/>
                <w:szCs w:val="24"/>
              </w:rPr>
              <w:t>open to the service with polycythaemia following endocrine treatment (initiated by the service) needing venesection</w:t>
            </w:r>
          </w:p>
        </w:tc>
        <w:tc>
          <w:tcPr>
            <w:tcW w:w="2284" w:type="dxa"/>
            <w:shd w:val="clear" w:color="auto" w:fill="auto"/>
            <w:hideMark/>
          </w:tcPr>
          <w:p w14:paraId="745E1B45" w14:textId="77777777" w:rsidR="00425521" w:rsidRPr="00346EF6" w:rsidRDefault="00425521" w:rsidP="00F45445">
            <w:pPr>
              <w:spacing w:after="120"/>
              <w:rPr>
                <w:rFonts w:cs="Arial"/>
                <w:szCs w:val="24"/>
              </w:rPr>
            </w:pPr>
            <w:r w:rsidRPr="00346EF6">
              <w:rPr>
                <w:rFonts w:cs="Arial"/>
                <w:szCs w:val="24"/>
              </w:rPr>
              <w:t xml:space="preserve">Number of </w:t>
            </w:r>
            <w:proofErr w:type="gramStart"/>
            <w:r w:rsidRPr="00346EF6">
              <w:rPr>
                <w:rFonts w:cs="Arial"/>
                <w:szCs w:val="24"/>
              </w:rPr>
              <w:t>patients  open</w:t>
            </w:r>
            <w:proofErr w:type="gramEnd"/>
            <w:r w:rsidRPr="00346EF6">
              <w:rPr>
                <w:rFonts w:cs="Arial"/>
                <w:szCs w:val="24"/>
              </w:rPr>
              <w:t xml:space="preserve"> to the service with polycythaemia following endocrine treatment (initiated by the service) needing venesection</w:t>
            </w:r>
          </w:p>
        </w:tc>
        <w:tc>
          <w:tcPr>
            <w:tcW w:w="1393" w:type="dxa"/>
            <w:shd w:val="clear" w:color="auto" w:fill="auto"/>
            <w:hideMark/>
          </w:tcPr>
          <w:p w14:paraId="59491E66"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65202477"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1D23DB46"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039FD171" w14:textId="77777777" w:rsidR="00425521" w:rsidRPr="00346EF6" w:rsidRDefault="00425521" w:rsidP="00F45445">
            <w:pPr>
              <w:spacing w:after="120"/>
              <w:rPr>
                <w:rFonts w:cs="Arial"/>
                <w:szCs w:val="24"/>
              </w:rPr>
            </w:pPr>
            <w:r w:rsidRPr="00346EF6">
              <w:rPr>
                <w:rFonts w:cs="Arial"/>
                <w:szCs w:val="24"/>
              </w:rPr>
              <w:t>3</w:t>
            </w:r>
          </w:p>
        </w:tc>
        <w:tc>
          <w:tcPr>
            <w:tcW w:w="2365" w:type="dxa"/>
            <w:shd w:val="clear" w:color="auto" w:fill="auto"/>
            <w:hideMark/>
          </w:tcPr>
          <w:p w14:paraId="25329AB1" w14:textId="77777777" w:rsidR="00425521" w:rsidRPr="00346EF6" w:rsidRDefault="00425521" w:rsidP="00F45445">
            <w:pPr>
              <w:spacing w:after="120"/>
              <w:rPr>
                <w:rFonts w:cs="Arial"/>
                <w:szCs w:val="24"/>
              </w:rPr>
            </w:pPr>
            <w:r w:rsidRPr="00346EF6">
              <w:rPr>
                <w:rFonts w:cs="Arial"/>
                <w:szCs w:val="24"/>
              </w:rPr>
              <w:t>Safe, effective, caring, responsive</w:t>
            </w:r>
          </w:p>
        </w:tc>
      </w:tr>
      <w:tr w:rsidR="00425521" w:rsidRPr="00346EF6" w14:paraId="26A81C20" w14:textId="77777777" w:rsidTr="00425521">
        <w:trPr>
          <w:trHeight w:val="1124"/>
        </w:trPr>
        <w:tc>
          <w:tcPr>
            <w:tcW w:w="1123" w:type="dxa"/>
            <w:shd w:val="clear" w:color="auto" w:fill="auto"/>
            <w:hideMark/>
          </w:tcPr>
          <w:p w14:paraId="46328A94" w14:textId="77777777" w:rsidR="00425521" w:rsidRPr="00346EF6" w:rsidRDefault="00425521" w:rsidP="00F45445">
            <w:pPr>
              <w:spacing w:after="120"/>
              <w:rPr>
                <w:rFonts w:cs="Arial"/>
                <w:b/>
                <w:szCs w:val="24"/>
              </w:rPr>
            </w:pPr>
            <w:r w:rsidRPr="00346EF6">
              <w:rPr>
                <w:rFonts w:cs="Arial"/>
                <w:b/>
                <w:szCs w:val="24"/>
              </w:rPr>
              <w:t>106</w:t>
            </w:r>
          </w:p>
        </w:tc>
        <w:tc>
          <w:tcPr>
            <w:tcW w:w="2240" w:type="dxa"/>
            <w:shd w:val="clear" w:color="auto" w:fill="auto"/>
            <w:hideMark/>
          </w:tcPr>
          <w:p w14:paraId="1BFB2F74" w14:textId="77777777" w:rsidR="00425521" w:rsidRPr="00346EF6" w:rsidRDefault="00425521" w:rsidP="00F45445">
            <w:pPr>
              <w:spacing w:after="120"/>
              <w:rPr>
                <w:rFonts w:cs="Arial"/>
                <w:szCs w:val="24"/>
              </w:rPr>
            </w:pPr>
            <w:r w:rsidRPr="00346EF6">
              <w:rPr>
                <w:rFonts w:cs="Arial"/>
                <w:szCs w:val="24"/>
              </w:rPr>
              <w:t xml:space="preserve">Number of patients open to the service reporting DVT/PE following endocrine </w:t>
            </w:r>
            <w:r w:rsidRPr="00346EF6">
              <w:rPr>
                <w:rFonts w:cs="Arial"/>
                <w:szCs w:val="24"/>
              </w:rPr>
              <w:lastRenderedPageBreak/>
              <w:t>treatment (initiated by the service) where action is required</w:t>
            </w:r>
          </w:p>
        </w:tc>
        <w:tc>
          <w:tcPr>
            <w:tcW w:w="2284" w:type="dxa"/>
            <w:shd w:val="clear" w:color="auto" w:fill="auto"/>
            <w:hideMark/>
          </w:tcPr>
          <w:p w14:paraId="0E5826E5" w14:textId="77777777" w:rsidR="00425521" w:rsidRPr="00346EF6" w:rsidRDefault="00425521" w:rsidP="00F45445">
            <w:pPr>
              <w:spacing w:after="120"/>
              <w:rPr>
                <w:rFonts w:cs="Arial"/>
                <w:szCs w:val="24"/>
              </w:rPr>
            </w:pPr>
            <w:r w:rsidRPr="00346EF6">
              <w:rPr>
                <w:rFonts w:cs="Arial"/>
                <w:szCs w:val="24"/>
              </w:rPr>
              <w:lastRenderedPageBreak/>
              <w:t xml:space="preserve">Number of patients open to the service reporting DVT/PE following endocrine treatment (initiated by the service) </w:t>
            </w:r>
            <w:r w:rsidRPr="00346EF6">
              <w:rPr>
                <w:rFonts w:cs="Arial"/>
                <w:szCs w:val="24"/>
              </w:rPr>
              <w:lastRenderedPageBreak/>
              <w:t>where action is required</w:t>
            </w:r>
          </w:p>
        </w:tc>
        <w:tc>
          <w:tcPr>
            <w:tcW w:w="1393" w:type="dxa"/>
            <w:shd w:val="clear" w:color="auto" w:fill="auto"/>
            <w:hideMark/>
          </w:tcPr>
          <w:p w14:paraId="66D8EA0B" w14:textId="77777777" w:rsidR="00425521" w:rsidRPr="00346EF6" w:rsidRDefault="00425521" w:rsidP="00F45445">
            <w:pPr>
              <w:spacing w:after="120"/>
              <w:rPr>
                <w:rFonts w:cs="Arial"/>
                <w:szCs w:val="24"/>
              </w:rPr>
            </w:pPr>
            <w:r w:rsidRPr="00346EF6">
              <w:rPr>
                <w:rFonts w:cs="Arial"/>
                <w:szCs w:val="24"/>
              </w:rPr>
              <w:lastRenderedPageBreak/>
              <w:t> </w:t>
            </w:r>
          </w:p>
        </w:tc>
        <w:tc>
          <w:tcPr>
            <w:tcW w:w="1485" w:type="dxa"/>
            <w:shd w:val="clear" w:color="auto" w:fill="auto"/>
            <w:hideMark/>
          </w:tcPr>
          <w:p w14:paraId="2A979372"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14004207"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68F1B033" w14:textId="77777777" w:rsidR="00425521" w:rsidRPr="00346EF6" w:rsidRDefault="00425521" w:rsidP="00F45445">
            <w:pPr>
              <w:spacing w:after="120"/>
              <w:rPr>
                <w:rFonts w:cs="Arial"/>
                <w:szCs w:val="24"/>
              </w:rPr>
            </w:pPr>
            <w:r w:rsidRPr="00346EF6">
              <w:rPr>
                <w:rFonts w:cs="Arial"/>
                <w:szCs w:val="24"/>
              </w:rPr>
              <w:t>3</w:t>
            </w:r>
          </w:p>
        </w:tc>
        <w:tc>
          <w:tcPr>
            <w:tcW w:w="2365" w:type="dxa"/>
            <w:shd w:val="clear" w:color="auto" w:fill="auto"/>
            <w:hideMark/>
          </w:tcPr>
          <w:p w14:paraId="1B01946F" w14:textId="77777777" w:rsidR="00425521" w:rsidRPr="00346EF6" w:rsidRDefault="00425521" w:rsidP="00F45445">
            <w:pPr>
              <w:spacing w:after="120"/>
              <w:rPr>
                <w:rFonts w:cs="Arial"/>
                <w:szCs w:val="24"/>
              </w:rPr>
            </w:pPr>
            <w:r w:rsidRPr="00346EF6">
              <w:rPr>
                <w:rFonts w:cs="Arial"/>
                <w:szCs w:val="24"/>
              </w:rPr>
              <w:t>Safe, effective, caring, responsive</w:t>
            </w:r>
          </w:p>
        </w:tc>
      </w:tr>
      <w:tr w:rsidR="00425521" w:rsidRPr="00346EF6" w14:paraId="4144229B" w14:textId="77777777" w:rsidTr="00F45445">
        <w:trPr>
          <w:trHeight w:val="1530"/>
        </w:trPr>
        <w:tc>
          <w:tcPr>
            <w:tcW w:w="1123" w:type="dxa"/>
            <w:shd w:val="clear" w:color="auto" w:fill="auto"/>
            <w:hideMark/>
          </w:tcPr>
          <w:p w14:paraId="1A4BBB23" w14:textId="77777777" w:rsidR="00425521" w:rsidRPr="00346EF6" w:rsidRDefault="00425521" w:rsidP="00F45445">
            <w:pPr>
              <w:spacing w:after="120"/>
              <w:rPr>
                <w:rFonts w:cs="Arial"/>
                <w:b/>
                <w:szCs w:val="24"/>
              </w:rPr>
            </w:pPr>
            <w:r w:rsidRPr="00346EF6">
              <w:rPr>
                <w:rFonts w:cs="Arial"/>
                <w:b/>
                <w:szCs w:val="24"/>
              </w:rPr>
              <w:t>107</w:t>
            </w:r>
          </w:p>
        </w:tc>
        <w:tc>
          <w:tcPr>
            <w:tcW w:w="2240" w:type="dxa"/>
            <w:shd w:val="clear" w:color="auto" w:fill="auto"/>
            <w:hideMark/>
          </w:tcPr>
          <w:p w14:paraId="6656FA70" w14:textId="77777777" w:rsidR="00425521" w:rsidRPr="00346EF6" w:rsidRDefault="00425521" w:rsidP="00F45445">
            <w:pPr>
              <w:spacing w:after="120"/>
              <w:rPr>
                <w:rFonts w:cs="Arial"/>
                <w:szCs w:val="24"/>
              </w:rPr>
            </w:pPr>
            <w:r>
              <w:rPr>
                <w:rFonts w:cs="Arial"/>
                <w:szCs w:val="24"/>
              </w:rPr>
              <w:t xml:space="preserve">Number of patients open </w:t>
            </w:r>
            <w:r w:rsidRPr="00346EF6">
              <w:rPr>
                <w:rFonts w:cs="Arial"/>
                <w:szCs w:val="24"/>
              </w:rPr>
              <w:t>t</w:t>
            </w:r>
            <w:r>
              <w:rPr>
                <w:rFonts w:cs="Arial"/>
                <w:szCs w:val="24"/>
              </w:rPr>
              <w:t>o</w:t>
            </w:r>
            <w:r w:rsidRPr="00346EF6">
              <w:rPr>
                <w:rFonts w:cs="Arial"/>
                <w:szCs w:val="24"/>
              </w:rPr>
              <w:t xml:space="preserve"> the service with cardiovascular complications (e.g. MI or Stroke) post hormone treatment (initiated by the service) </w:t>
            </w:r>
          </w:p>
        </w:tc>
        <w:tc>
          <w:tcPr>
            <w:tcW w:w="2284" w:type="dxa"/>
            <w:shd w:val="clear" w:color="auto" w:fill="auto"/>
            <w:hideMark/>
          </w:tcPr>
          <w:p w14:paraId="31D29AE4" w14:textId="77777777" w:rsidR="00425521" w:rsidRPr="00346EF6" w:rsidRDefault="00425521" w:rsidP="00F45445">
            <w:pPr>
              <w:spacing w:after="120"/>
              <w:rPr>
                <w:rFonts w:cs="Arial"/>
                <w:szCs w:val="24"/>
              </w:rPr>
            </w:pPr>
            <w:r>
              <w:rPr>
                <w:rFonts w:cs="Arial"/>
                <w:szCs w:val="24"/>
              </w:rPr>
              <w:t>Number of patients open to</w:t>
            </w:r>
            <w:r w:rsidRPr="00346EF6">
              <w:rPr>
                <w:rFonts w:cs="Arial"/>
                <w:szCs w:val="24"/>
              </w:rPr>
              <w:t xml:space="preserve"> the service with cardiovascular complications (e.g. MI or Stroke) post hormone treatment (initiated by the service) </w:t>
            </w:r>
          </w:p>
        </w:tc>
        <w:tc>
          <w:tcPr>
            <w:tcW w:w="1393" w:type="dxa"/>
            <w:shd w:val="clear" w:color="auto" w:fill="auto"/>
            <w:hideMark/>
          </w:tcPr>
          <w:p w14:paraId="778CEE7F"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74A67DE3"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32386221"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38195EC9" w14:textId="77777777" w:rsidR="00425521" w:rsidRPr="00346EF6" w:rsidRDefault="00425521" w:rsidP="00F45445">
            <w:pPr>
              <w:spacing w:after="120"/>
              <w:rPr>
                <w:rFonts w:cs="Arial"/>
                <w:szCs w:val="24"/>
              </w:rPr>
            </w:pPr>
            <w:r w:rsidRPr="00346EF6">
              <w:rPr>
                <w:rFonts w:cs="Arial"/>
                <w:szCs w:val="24"/>
              </w:rPr>
              <w:t>3, 4</w:t>
            </w:r>
          </w:p>
        </w:tc>
        <w:tc>
          <w:tcPr>
            <w:tcW w:w="2365" w:type="dxa"/>
            <w:shd w:val="clear" w:color="auto" w:fill="auto"/>
            <w:hideMark/>
          </w:tcPr>
          <w:p w14:paraId="405613D8" w14:textId="77777777" w:rsidR="00425521" w:rsidRPr="00346EF6" w:rsidRDefault="00425521" w:rsidP="00F45445">
            <w:pPr>
              <w:spacing w:after="120"/>
              <w:rPr>
                <w:rFonts w:cs="Arial"/>
                <w:szCs w:val="24"/>
              </w:rPr>
            </w:pPr>
            <w:r w:rsidRPr="00346EF6">
              <w:rPr>
                <w:rFonts w:cs="Arial"/>
                <w:szCs w:val="24"/>
              </w:rPr>
              <w:t>Safe, effective, caring, responsive</w:t>
            </w:r>
          </w:p>
        </w:tc>
      </w:tr>
      <w:tr w:rsidR="00425521" w:rsidRPr="00346EF6" w14:paraId="11C5BB9A" w14:textId="77777777" w:rsidTr="00F45445">
        <w:trPr>
          <w:trHeight w:val="1155"/>
        </w:trPr>
        <w:tc>
          <w:tcPr>
            <w:tcW w:w="1123" w:type="dxa"/>
            <w:shd w:val="clear" w:color="auto" w:fill="auto"/>
            <w:hideMark/>
          </w:tcPr>
          <w:p w14:paraId="6DF065AE" w14:textId="77777777" w:rsidR="00425521" w:rsidRPr="00346EF6" w:rsidRDefault="00425521" w:rsidP="00F45445">
            <w:pPr>
              <w:spacing w:after="120"/>
              <w:rPr>
                <w:rFonts w:cs="Arial"/>
                <w:b/>
                <w:szCs w:val="24"/>
              </w:rPr>
            </w:pPr>
            <w:r w:rsidRPr="00346EF6">
              <w:rPr>
                <w:rFonts w:cs="Arial"/>
                <w:b/>
                <w:szCs w:val="24"/>
              </w:rPr>
              <w:t>108</w:t>
            </w:r>
          </w:p>
        </w:tc>
        <w:tc>
          <w:tcPr>
            <w:tcW w:w="2240" w:type="dxa"/>
            <w:shd w:val="clear" w:color="auto" w:fill="auto"/>
            <w:hideMark/>
          </w:tcPr>
          <w:p w14:paraId="3A79A817" w14:textId="77777777" w:rsidR="00425521" w:rsidRPr="00346EF6" w:rsidRDefault="00425521" w:rsidP="00F45445">
            <w:pPr>
              <w:spacing w:after="120"/>
              <w:rPr>
                <w:rFonts w:cs="Arial"/>
                <w:szCs w:val="24"/>
              </w:rPr>
            </w:pPr>
            <w:r w:rsidRPr="00346EF6">
              <w:rPr>
                <w:rFonts w:cs="Arial"/>
                <w:szCs w:val="24"/>
              </w:rPr>
              <w:t>Number of patients requesting chest reconstruction surgery who do not reques</w:t>
            </w:r>
            <w:r>
              <w:rPr>
                <w:rFonts w:cs="Arial"/>
                <w:szCs w:val="24"/>
              </w:rPr>
              <w:t>t hormone treatment pre-surgery</w:t>
            </w:r>
          </w:p>
        </w:tc>
        <w:tc>
          <w:tcPr>
            <w:tcW w:w="2284" w:type="dxa"/>
            <w:shd w:val="clear" w:color="auto" w:fill="auto"/>
            <w:hideMark/>
          </w:tcPr>
          <w:p w14:paraId="68325923" w14:textId="77777777" w:rsidR="00425521" w:rsidRPr="00346EF6" w:rsidRDefault="00425521" w:rsidP="00F45445">
            <w:pPr>
              <w:spacing w:after="120"/>
              <w:rPr>
                <w:rFonts w:cs="Arial"/>
                <w:szCs w:val="24"/>
              </w:rPr>
            </w:pPr>
            <w:r w:rsidRPr="00346EF6">
              <w:rPr>
                <w:rFonts w:cs="Arial"/>
                <w:szCs w:val="24"/>
              </w:rPr>
              <w:t>Number of patients requesting chest reconstruction surgery who d</w:t>
            </w:r>
            <w:r>
              <w:rPr>
                <w:rFonts w:cs="Arial"/>
                <w:szCs w:val="24"/>
              </w:rPr>
              <w:t>o not request hormone treatment</w:t>
            </w:r>
          </w:p>
        </w:tc>
        <w:tc>
          <w:tcPr>
            <w:tcW w:w="1393" w:type="dxa"/>
            <w:shd w:val="clear" w:color="auto" w:fill="auto"/>
            <w:hideMark/>
          </w:tcPr>
          <w:p w14:paraId="6E928B4C"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06F6DEEB" w14:textId="77777777" w:rsidR="00425521" w:rsidRPr="00346EF6" w:rsidRDefault="00425521" w:rsidP="00F45445">
            <w:pPr>
              <w:spacing w:after="120"/>
              <w:rPr>
                <w:rFonts w:cs="Arial"/>
                <w:szCs w:val="24"/>
              </w:rPr>
            </w:pPr>
            <w:r w:rsidRPr="00346EF6">
              <w:rPr>
                <w:rFonts w:cs="Arial"/>
                <w:szCs w:val="24"/>
              </w:rPr>
              <w:t>Annual Report</w:t>
            </w:r>
          </w:p>
        </w:tc>
        <w:tc>
          <w:tcPr>
            <w:tcW w:w="1412" w:type="dxa"/>
            <w:shd w:val="clear" w:color="auto" w:fill="auto"/>
            <w:hideMark/>
          </w:tcPr>
          <w:p w14:paraId="47D29E09" w14:textId="77777777" w:rsidR="00425521" w:rsidRPr="00346EF6" w:rsidRDefault="00425521" w:rsidP="00F45445">
            <w:pPr>
              <w:spacing w:after="120"/>
              <w:rPr>
                <w:rFonts w:cs="Arial"/>
                <w:szCs w:val="24"/>
              </w:rPr>
            </w:pPr>
            <w:r w:rsidRPr="00346EF6">
              <w:rPr>
                <w:rFonts w:cs="Arial"/>
                <w:szCs w:val="24"/>
              </w:rPr>
              <w:t>HES / SSQD</w:t>
            </w:r>
          </w:p>
        </w:tc>
        <w:tc>
          <w:tcPr>
            <w:tcW w:w="1175" w:type="dxa"/>
            <w:shd w:val="clear" w:color="auto" w:fill="auto"/>
            <w:hideMark/>
          </w:tcPr>
          <w:p w14:paraId="76058FBD" w14:textId="77777777" w:rsidR="00425521" w:rsidRPr="00346EF6" w:rsidRDefault="00425521" w:rsidP="00F45445">
            <w:pPr>
              <w:spacing w:after="120"/>
              <w:rPr>
                <w:rFonts w:cs="Arial"/>
                <w:szCs w:val="24"/>
              </w:rPr>
            </w:pPr>
            <w:r w:rsidRPr="00346EF6">
              <w:rPr>
                <w:rFonts w:cs="Arial"/>
                <w:szCs w:val="24"/>
              </w:rPr>
              <w:t>3</w:t>
            </w:r>
          </w:p>
        </w:tc>
        <w:tc>
          <w:tcPr>
            <w:tcW w:w="2365" w:type="dxa"/>
            <w:shd w:val="clear" w:color="auto" w:fill="auto"/>
            <w:hideMark/>
          </w:tcPr>
          <w:p w14:paraId="4E684902" w14:textId="77777777" w:rsidR="00425521" w:rsidRPr="00346EF6" w:rsidRDefault="00425521" w:rsidP="00F45445">
            <w:pPr>
              <w:spacing w:after="120"/>
              <w:rPr>
                <w:rFonts w:cs="Arial"/>
                <w:szCs w:val="24"/>
              </w:rPr>
            </w:pPr>
            <w:r w:rsidRPr="00346EF6">
              <w:rPr>
                <w:rFonts w:cs="Arial"/>
                <w:szCs w:val="24"/>
              </w:rPr>
              <w:t>Effective, caring, responsive</w:t>
            </w:r>
          </w:p>
        </w:tc>
      </w:tr>
      <w:tr w:rsidR="00425521" w:rsidRPr="00346EF6" w14:paraId="15343A76" w14:textId="77777777" w:rsidTr="00F45445">
        <w:trPr>
          <w:trHeight w:val="525"/>
        </w:trPr>
        <w:tc>
          <w:tcPr>
            <w:tcW w:w="1123" w:type="dxa"/>
            <w:shd w:val="clear" w:color="auto" w:fill="auto"/>
            <w:noWrap/>
            <w:hideMark/>
          </w:tcPr>
          <w:p w14:paraId="69BACFAB" w14:textId="77777777" w:rsidR="00425521" w:rsidRPr="00346EF6" w:rsidRDefault="00425521" w:rsidP="00F45445">
            <w:pPr>
              <w:spacing w:after="120"/>
              <w:rPr>
                <w:rFonts w:cs="Arial"/>
                <w:b/>
                <w:szCs w:val="24"/>
              </w:rPr>
            </w:pPr>
            <w:r w:rsidRPr="00346EF6">
              <w:rPr>
                <w:rFonts w:cs="Arial"/>
                <w:b/>
                <w:szCs w:val="24"/>
              </w:rPr>
              <w:t> </w:t>
            </w:r>
          </w:p>
        </w:tc>
        <w:tc>
          <w:tcPr>
            <w:tcW w:w="7402" w:type="dxa"/>
            <w:gridSpan w:val="4"/>
            <w:shd w:val="clear" w:color="auto" w:fill="auto"/>
            <w:hideMark/>
          </w:tcPr>
          <w:p w14:paraId="3EBDD353" w14:textId="77777777" w:rsidR="00425521" w:rsidRPr="00346EF6" w:rsidRDefault="00425521" w:rsidP="00F45445">
            <w:pPr>
              <w:spacing w:after="120"/>
              <w:rPr>
                <w:rFonts w:cs="Arial"/>
                <w:b/>
                <w:szCs w:val="24"/>
              </w:rPr>
            </w:pPr>
            <w:r w:rsidRPr="00346EF6">
              <w:rPr>
                <w:rFonts w:cs="Arial"/>
                <w:b/>
                <w:szCs w:val="24"/>
              </w:rPr>
              <w:t xml:space="preserve">Patient Experience  </w:t>
            </w:r>
          </w:p>
        </w:tc>
        <w:tc>
          <w:tcPr>
            <w:tcW w:w="1412" w:type="dxa"/>
            <w:shd w:val="clear" w:color="auto" w:fill="auto"/>
            <w:hideMark/>
          </w:tcPr>
          <w:p w14:paraId="1360E8D4" w14:textId="77777777" w:rsidR="00425521" w:rsidRPr="00346EF6" w:rsidRDefault="00425521" w:rsidP="00F45445">
            <w:pPr>
              <w:spacing w:after="120"/>
              <w:rPr>
                <w:rFonts w:cs="Arial"/>
                <w:b/>
                <w:szCs w:val="24"/>
              </w:rPr>
            </w:pPr>
            <w:r w:rsidRPr="00346EF6">
              <w:rPr>
                <w:rFonts w:cs="Arial"/>
                <w:b/>
                <w:szCs w:val="24"/>
              </w:rPr>
              <w:t> </w:t>
            </w:r>
          </w:p>
        </w:tc>
        <w:tc>
          <w:tcPr>
            <w:tcW w:w="1175" w:type="dxa"/>
            <w:shd w:val="clear" w:color="auto" w:fill="auto"/>
            <w:hideMark/>
          </w:tcPr>
          <w:p w14:paraId="07D0C00C" w14:textId="77777777" w:rsidR="00425521" w:rsidRPr="00346EF6" w:rsidRDefault="00425521" w:rsidP="00F45445">
            <w:pPr>
              <w:spacing w:after="120"/>
              <w:rPr>
                <w:rFonts w:cs="Arial"/>
                <w:b/>
                <w:szCs w:val="24"/>
              </w:rPr>
            </w:pPr>
            <w:r w:rsidRPr="00346EF6">
              <w:rPr>
                <w:rFonts w:cs="Arial"/>
                <w:b/>
                <w:szCs w:val="24"/>
              </w:rPr>
              <w:t> </w:t>
            </w:r>
          </w:p>
        </w:tc>
        <w:tc>
          <w:tcPr>
            <w:tcW w:w="2365" w:type="dxa"/>
            <w:shd w:val="clear" w:color="auto" w:fill="auto"/>
            <w:hideMark/>
          </w:tcPr>
          <w:p w14:paraId="6E643438" w14:textId="77777777" w:rsidR="00425521" w:rsidRPr="00346EF6" w:rsidRDefault="00425521" w:rsidP="00F45445">
            <w:pPr>
              <w:spacing w:after="120"/>
              <w:rPr>
                <w:rFonts w:cs="Arial"/>
                <w:b/>
                <w:szCs w:val="24"/>
              </w:rPr>
            </w:pPr>
            <w:r w:rsidRPr="00346EF6">
              <w:rPr>
                <w:rFonts w:cs="Arial"/>
                <w:b/>
                <w:szCs w:val="24"/>
              </w:rPr>
              <w:t> </w:t>
            </w:r>
          </w:p>
        </w:tc>
      </w:tr>
      <w:tr w:rsidR="00425521" w:rsidRPr="00346EF6" w14:paraId="58B6B7BB" w14:textId="77777777" w:rsidTr="00F45445">
        <w:trPr>
          <w:trHeight w:val="1500"/>
        </w:trPr>
        <w:tc>
          <w:tcPr>
            <w:tcW w:w="1123" w:type="dxa"/>
            <w:shd w:val="clear" w:color="auto" w:fill="auto"/>
            <w:hideMark/>
          </w:tcPr>
          <w:p w14:paraId="0FB38CEC" w14:textId="77777777" w:rsidR="00425521" w:rsidRPr="00346EF6" w:rsidRDefault="00425521" w:rsidP="00F45445">
            <w:pPr>
              <w:spacing w:after="120"/>
              <w:rPr>
                <w:rFonts w:cs="Arial"/>
                <w:b/>
                <w:szCs w:val="24"/>
              </w:rPr>
            </w:pPr>
            <w:r w:rsidRPr="00346EF6">
              <w:rPr>
                <w:rFonts w:cs="Arial"/>
                <w:b/>
                <w:szCs w:val="24"/>
              </w:rPr>
              <w:t>201</w:t>
            </w:r>
          </w:p>
        </w:tc>
        <w:tc>
          <w:tcPr>
            <w:tcW w:w="2240" w:type="dxa"/>
            <w:shd w:val="clear" w:color="auto" w:fill="auto"/>
            <w:hideMark/>
          </w:tcPr>
          <w:p w14:paraId="7631FB38" w14:textId="77777777" w:rsidR="00425521" w:rsidRPr="00346EF6" w:rsidRDefault="00425521" w:rsidP="00F45445">
            <w:pPr>
              <w:spacing w:after="120"/>
              <w:rPr>
                <w:rFonts w:cs="Arial"/>
                <w:szCs w:val="24"/>
              </w:rPr>
            </w:pPr>
            <w:r w:rsidRPr="00346EF6">
              <w:rPr>
                <w:rFonts w:cs="Arial"/>
                <w:szCs w:val="24"/>
              </w:rPr>
              <w:t>The service reviews the national PROM/PREM data</w:t>
            </w:r>
          </w:p>
        </w:tc>
        <w:tc>
          <w:tcPr>
            <w:tcW w:w="2284" w:type="dxa"/>
            <w:shd w:val="clear" w:color="auto" w:fill="auto"/>
            <w:hideMark/>
          </w:tcPr>
          <w:p w14:paraId="767F8A1A" w14:textId="77777777" w:rsidR="00425521" w:rsidRPr="00346EF6" w:rsidRDefault="00425521" w:rsidP="00F45445">
            <w:pPr>
              <w:spacing w:after="120"/>
              <w:rPr>
                <w:rFonts w:cs="Arial"/>
                <w:szCs w:val="24"/>
              </w:rPr>
            </w:pPr>
            <w:r w:rsidRPr="00346EF6">
              <w:rPr>
                <w:rFonts w:cs="Arial"/>
                <w:szCs w:val="24"/>
              </w:rPr>
              <w:t>Providers will receive data from the national PROM/PR</w:t>
            </w:r>
            <w:r>
              <w:rPr>
                <w:rFonts w:cs="Arial"/>
                <w:szCs w:val="24"/>
              </w:rPr>
              <w:t xml:space="preserve">EM data source and will </w:t>
            </w:r>
            <w:r w:rsidRPr="00346EF6">
              <w:rPr>
                <w:rFonts w:cs="Arial"/>
                <w:szCs w:val="24"/>
              </w:rPr>
              <w:t xml:space="preserve">review as a team and establish </w:t>
            </w:r>
            <w:r w:rsidRPr="00346EF6">
              <w:rPr>
                <w:rFonts w:cs="Arial"/>
                <w:szCs w:val="24"/>
              </w:rPr>
              <w:lastRenderedPageBreak/>
              <w:t>service development plans to continually improve the service</w:t>
            </w:r>
          </w:p>
        </w:tc>
        <w:tc>
          <w:tcPr>
            <w:tcW w:w="1393" w:type="dxa"/>
            <w:shd w:val="clear" w:color="auto" w:fill="auto"/>
            <w:hideMark/>
          </w:tcPr>
          <w:p w14:paraId="15E203E7" w14:textId="77777777" w:rsidR="00425521" w:rsidRPr="00346EF6" w:rsidRDefault="00425521" w:rsidP="00F45445">
            <w:pPr>
              <w:spacing w:after="120"/>
              <w:rPr>
                <w:rFonts w:cs="Arial"/>
                <w:szCs w:val="24"/>
              </w:rPr>
            </w:pPr>
            <w:proofErr w:type="gramStart"/>
            <w:r>
              <w:rPr>
                <w:rFonts w:cs="Arial"/>
                <w:szCs w:val="24"/>
              </w:rPr>
              <w:lastRenderedPageBreak/>
              <w:t>On line</w:t>
            </w:r>
            <w:proofErr w:type="gramEnd"/>
            <w:r>
              <w:rPr>
                <w:rFonts w:cs="Arial"/>
                <w:szCs w:val="24"/>
              </w:rPr>
              <w:t xml:space="preserve"> reporting tool for access by patients will be adopted </w:t>
            </w:r>
            <w:r>
              <w:rPr>
                <w:rFonts w:cs="Arial"/>
                <w:szCs w:val="24"/>
              </w:rPr>
              <w:lastRenderedPageBreak/>
              <w:t>by NHS England for 2019/20</w:t>
            </w:r>
          </w:p>
        </w:tc>
        <w:tc>
          <w:tcPr>
            <w:tcW w:w="1485" w:type="dxa"/>
            <w:shd w:val="clear" w:color="auto" w:fill="auto"/>
            <w:hideMark/>
          </w:tcPr>
          <w:p w14:paraId="1ABC8385" w14:textId="77777777" w:rsidR="00425521" w:rsidRPr="00346EF6" w:rsidRDefault="00425521" w:rsidP="00F45445">
            <w:pPr>
              <w:spacing w:after="120"/>
              <w:rPr>
                <w:rFonts w:cs="Arial"/>
                <w:szCs w:val="24"/>
              </w:rPr>
            </w:pPr>
            <w:r w:rsidRPr="00346EF6">
              <w:rPr>
                <w:rFonts w:cs="Arial"/>
                <w:szCs w:val="24"/>
              </w:rPr>
              <w:lastRenderedPageBreak/>
              <w:t>Annual Report</w:t>
            </w:r>
          </w:p>
        </w:tc>
        <w:tc>
          <w:tcPr>
            <w:tcW w:w="1412" w:type="dxa"/>
            <w:shd w:val="clear" w:color="auto" w:fill="auto"/>
            <w:hideMark/>
          </w:tcPr>
          <w:p w14:paraId="4D0E4D8C" w14:textId="77777777" w:rsidR="00425521" w:rsidRPr="00346EF6" w:rsidRDefault="00425521" w:rsidP="00F45445">
            <w:pPr>
              <w:spacing w:after="120"/>
              <w:rPr>
                <w:rFonts w:cs="Arial"/>
                <w:szCs w:val="24"/>
              </w:rPr>
            </w:pPr>
            <w:r w:rsidRPr="00346EF6">
              <w:rPr>
                <w:rFonts w:cs="Arial"/>
                <w:szCs w:val="24"/>
              </w:rPr>
              <w:t>Self-declaration</w:t>
            </w:r>
          </w:p>
        </w:tc>
        <w:tc>
          <w:tcPr>
            <w:tcW w:w="1175" w:type="dxa"/>
            <w:shd w:val="clear" w:color="auto" w:fill="auto"/>
            <w:hideMark/>
          </w:tcPr>
          <w:p w14:paraId="38C1D198" w14:textId="77777777" w:rsidR="00425521" w:rsidRPr="00346EF6" w:rsidRDefault="00425521" w:rsidP="00F45445">
            <w:pPr>
              <w:spacing w:after="120"/>
              <w:rPr>
                <w:rFonts w:cs="Arial"/>
                <w:szCs w:val="24"/>
              </w:rPr>
            </w:pPr>
            <w:r w:rsidRPr="00346EF6">
              <w:rPr>
                <w:rFonts w:cs="Arial"/>
                <w:szCs w:val="24"/>
              </w:rPr>
              <w:t>4</w:t>
            </w:r>
          </w:p>
        </w:tc>
        <w:tc>
          <w:tcPr>
            <w:tcW w:w="2365" w:type="dxa"/>
            <w:shd w:val="clear" w:color="auto" w:fill="auto"/>
            <w:hideMark/>
          </w:tcPr>
          <w:p w14:paraId="7E9296F9" w14:textId="77777777" w:rsidR="00425521" w:rsidRPr="00346EF6" w:rsidRDefault="001D496D" w:rsidP="00F45445">
            <w:pPr>
              <w:spacing w:after="120"/>
              <w:rPr>
                <w:rFonts w:cs="Arial"/>
                <w:szCs w:val="24"/>
              </w:rPr>
            </w:pPr>
            <w:r>
              <w:rPr>
                <w:rFonts w:cs="Arial"/>
                <w:szCs w:val="24"/>
              </w:rPr>
              <w:t>C</w:t>
            </w:r>
            <w:r w:rsidR="00425521" w:rsidRPr="00346EF6">
              <w:rPr>
                <w:rFonts w:cs="Arial"/>
                <w:szCs w:val="24"/>
              </w:rPr>
              <w:t>aring, responsive</w:t>
            </w:r>
          </w:p>
        </w:tc>
      </w:tr>
      <w:tr w:rsidR="00425521" w:rsidRPr="00346EF6" w14:paraId="46BB1184" w14:textId="77777777" w:rsidTr="00F45445">
        <w:trPr>
          <w:trHeight w:val="1155"/>
        </w:trPr>
        <w:tc>
          <w:tcPr>
            <w:tcW w:w="1123" w:type="dxa"/>
            <w:shd w:val="clear" w:color="auto" w:fill="auto"/>
            <w:hideMark/>
          </w:tcPr>
          <w:p w14:paraId="74B362B6" w14:textId="77777777" w:rsidR="00425521" w:rsidRPr="00346EF6" w:rsidRDefault="00425521" w:rsidP="00F45445">
            <w:pPr>
              <w:spacing w:after="120"/>
              <w:rPr>
                <w:rFonts w:cs="Arial"/>
                <w:b/>
                <w:szCs w:val="24"/>
              </w:rPr>
            </w:pPr>
            <w:r w:rsidRPr="00346EF6">
              <w:rPr>
                <w:rFonts w:cs="Arial"/>
                <w:b/>
                <w:szCs w:val="24"/>
              </w:rPr>
              <w:t>202</w:t>
            </w:r>
          </w:p>
        </w:tc>
        <w:tc>
          <w:tcPr>
            <w:tcW w:w="2240" w:type="dxa"/>
            <w:shd w:val="clear" w:color="auto" w:fill="auto"/>
            <w:hideMark/>
          </w:tcPr>
          <w:p w14:paraId="20DEE1E5" w14:textId="77777777" w:rsidR="00425521" w:rsidRPr="00346EF6" w:rsidRDefault="00425521" w:rsidP="00F45445">
            <w:pPr>
              <w:spacing w:after="120"/>
              <w:rPr>
                <w:rFonts w:cs="Arial"/>
                <w:szCs w:val="24"/>
              </w:rPr>
            </w:pPr>
            <w:r w:rsidRPr="00346EF6">
              <w:rPr>
                <w:rFonts w:cs="Arial"/>
                <w:szCs w:val="24"/>
              </w:rPr>
              <w:t>Patient information</w:t>
            </w:r>
          </w:p>
        </w:tc>
        <w:tc>
          <w:tcPr>
            <w:tcW w:w="2284" w:type="dxa"/>
            <w:shd w:val="clear" w:color="auto" w:fill="auto"/>
            <w:hideMark/>
          </w:tcPr>
          <w:p w14:paraId="218CD8BF" w14:textId="77777777" w:rsidR="00425521" w:rsidRPr="00346EF6" w:rsidRDefault="00425521" w:rsidP="00F45445">
            <w:pPr>
              <w:spacing w:after="120"/>
              <w:rPr>
                <w:rFonts w:cs="Arial"/>
                <w:szCs w:val="24"/>
              </w:rPr>
            </w:pPr>
            <w:r w:rsidRPr="00346EF6">
              <w:rPr>
                <w:rFonts w:cs="Arial"/>
                <w:szCs w:val="24"/>
              </w:rPr>
              <w:t>Patient information (in paper or online) is provided to all patients and includes details as list</w:t>
            </w:r>
            <w:r>
              <w:rPr>
                <w:rFonts w:cs="Arial"/>
                <w:szCs w:val="24"/>
              </w:rPr>
              <w:t>ed in the service specification</w:t>
            </w:r>
          </w:p>
        </w:tc>
        <w:tc>
          <w:tcPr>
            <w:tcW w:w="1393" w:type="dxa"/>
            <w:shd w:val="clear" w:color="auto" w:fill="auto"/>
            <w:hideMark/>
          </w:tcPr>
          <w:p w14:paraId="3363E6F6"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1AA04176"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10FC1A65" w14:textId="77777777" w:rsidR="00425521" w:rsidRPr="00346EF6" w:rsidRDefault="00425521" w:rsidP="00F45445">
            <w:pPr>
              <w:spacing w:after="120"/>
              <w:rPr>
                <w:rFonts w:cs="Arial"/>
                <w:szCs w:val="24"/>
              </w:rPr>
            </w:pPr>
            <w:r w:rsidRPr="00346EF6">
              <w:rPr>
                <w:rFonts w:cs="Arial"/>
                <w:szCs w:val="24"/>
              </w:rPr>
              <w:t>Self-declaration</w:t>
            </w:r>
          </w:p>
        </w:tc>
        <w:tc>
          <w:tcPr>
            <w:tcW w:w="1175" w:type="dxa"/>
            <w:shd w:val="clear" w:color="auto" w:fill="auto"/>
            <w:hideMark/>
          </w:tcPr>
          <w:p w14:paraId="328D55F5" w14:textId="77777777" w:rsidR="00425521" w:rsidRPr="00346EF6" w:rsidRDefault="00425521" w:rsidP="00F45445">
            <w:pPr>
              <w:spacing w:after="120"/>
              <w:rPr>
                <w:rFonts w:cs="Arial"/>
                <w:szCs w:val="24"/>
              </w:rPr>
            </w:pPr>
            <w:r w:rsidRPr="00346EF6">
              <w:rPr>
                <w:rFonts w:cs="Arial"/>
                <w:szCs w:val="24"/>
              </w:rPr>
              <w:t>4</w:t>
            </w:r>
          </w:p>
        </w:tc>
        <w:tc>
          <w:tcPr>
            <w:tcW w:w="2365" w:type="dxa"/>
            <w:shd w:val="clear" w:color="auto" w:fill="auto"/>
            <w:hideMark/>
          </w:tcPr>
          <w:p w14:paraId="7327537F" w14:textId="77777777" w:rsidR="00425521" w:rsidRPr="00346EF6" w:rsidRDefault="00425521" w:rsidP="00F45445">
            <w:pPr>
              <w:spacing w:after="120"/>
              <w:rPr>
                <w:rFonts w:cs="Arial"/>
                <w:szCs w:val="24"/>
              </w:rPr>
            </w:pPr>
            <w:r w:rsidRPr="00346EF6">
              <w:rPr>
                <w:rFonts w:cs="Arial"/>
                <w:szCs w:val="24"/>
              </w:rPr>
              <w:t>caring, responsive</w:t>
            </w:r>
          </w:p>
        </w:tc>
      </w:tr>
      <w:tr w:rsidR="00425521" w:rsidRPr="00346EF6" w14:paraId="04E7DD2E" w14:textId="77777777" w:rsidTr="00F45445">
        <w:trPr>
          <w:trHeight w:val="525"/>
        </w:trPr>
        <w:tc>
          <w:tcPr>
            <w:tcW w:w="1123" w:type="dxa"/>
            <w:shd w:val="clear" w:color="auto" w:fill="auto"/>
            <w:noWrap/>
            <w:hideMark/>
          </w:tcPr>
          <w:p w14:paraId="119BE1D4" w14:textId="77777777" w:rsidR="00425521" w:rsidRPr="00346EF6" w:rsidRDefault="00425521" w:rsidP="00F45445">
            <w:pPr>
              <w:spacing w:after="120"/>
              <w:rPr>
                <w:rFonts w:cs="Arial"/>
                <w:b/>
                <w:szCs w:val="24"/>
              </w:rPr>
            </w:pPr>
            <w:r w:rsidRPr="00346EF6">
              <w:rPr>
                <w:rFonts w:cs="Arial"/>
                <w:b/>
                <w:szCs w:val="24"/>
              </w:rPr>
              <w:t> </w:t>
            </w:r>
          </w:p>
        </w:tc>
        <w:tc>
          <w:tcPr>
            <w:tcW w:w="7402" w:type="dxa"/>
            <w:gridSpan w:val="4"/>
            <w:shd w:val="clear" w:color="auto" w:fill="auto"/>
            <w:hideMark/>
          </w:tcPr>
          <w:p w14:paraId="24333292" w14:textId="77777777" w:rsidR="00425521" w:rsidRPr="00346EF6" w:rsidRDefault="00425521" w:rsidP="00F45445">
            <w:pPr>
              <w:spacing w:after="120"/>
              <w:rPr>
                <w:rFonts w:cs="Arial"/>
                <w:b/>
                <w:szCs w:val="24"/>
              </w:rPr>
            </w:pPr>
            <w:r w:rsidRPr="00346EF6">
              <w:rPr>
                <w:rFonts w:cs="Arial"/>
                <w:b/>
                <w:szCs w:val="24"/>
              </w:rPr>
              <w:t>Structure and Process - infrastructure requirements, staffing, facilities etc.</w:t>
            </w:r>
          </w:p>
        </w:tc>
        <w:tc>
          <w:tcPr>
            <w:tcW w:w="1412" w:type="dxa"/>
            <w:shd w:val="clear" w:color="auto" w:fill="auto"/>
            <w:hideMark/>
          </w:tcPr>
          <w:p w14:paraId="5B27D97D" w14:textId="77777777" w:rsidR="00425521" w:rsidRPr="00346EF6" w:rsidRDefault="00425521" w:rsidP="00F45445">
            <w:pPr>
              <w:spacing w:after="120"/>
              <w:rPr>
                <w:rFonts w:cs="Arial"/>
                <w:b/>
                <w:szCs w:val="24"/>
              </w:rPr>
            </w:pPr>
            <w:r w:rsidRPr="00346EF6">
              <w:rPr>
                <w:rFonts w:cs="Arial"/>
                <w:b/>
                <w:szCs w:val="24"/>
              </w:rPr>
              <w:t> </w:t>
            </w:r>
          </w:p>
        </w:tc>
        <w:tc>
          <w:tcPr>
            <w:tcW w:w="1175" w:type="dxa"/>
            <w:shd w:val="clear" w:color="auto" w:fill="auto"/>
            <w:hideMark/>
          </w:tcPr>
          <w:p w14:paraId="22CF7112" w14:textId="77777777" w:rsidR="00425521" w:rsidRPr="00346EF6" w:rsidRDefault="00425521" w:rsidP="00F45445">
            <w:pPr>
              <w:spacing w:after="120"/>
              <w:rPr>
                <w:rFonts w:cs="Arial"/>
                <w:b/>
                <w:szCs w:val="24"/>
              </w:rPr>
            </w:pPr>
            <w:r w:rsidRPr="00346EF6">
              <w:rPr>
                <w:rFonts w:cs="Arial"/>
                <w:b/>
                <w:szCs w:val="24"/>
              </w:rPr>
              <w:t> </w:t>
            </w:r>
          </w:p>
        </w:tc>
        <w:tc>
          <w:tcPr>
            <w:tcW w:w="2365" w:type="dxa"/>
            <w:shd w:val="clear" w:color="auto" w:fill="auto"/>
            <w:hideMark/>
          </w:tcPr>
          <w:p w14:paraId="0B317F28" w14:textId="77777777" w:rsidR="00425521" w:rsidRPr="00346EF6" w:rsidRDefault="00425521" w:rsidP="00F45445">
            <w:pPr>
              <w:spacing w:after="120"/>
              <w:rPr>
                <w:rFonts w:cs="Arial"/>
                <w:b/>
                <w:szCs w:val="24"/>
              </w:rPr>
            </w:pPr>
            <w:r w:rsidRPr="00346EF6">
              <w:rPr>
                <w:rFonts w:cs="Arial"/>
                <w:b/>
                <w:szCs w:val="24"/>
              </w:rPr>
              <w:t> </w:t>
            </w:r>
          </w:p>
        </w:tc>
      </w:tr>
      <w:tr w:rsidR="00425521" w:rsidRPr="00346EF6" w14:paraId="58F69679" w14:textId="77777777" w:rsidTr="002F2CA8">
        <w:trPr>
          <w:trHeight w:val="1977"/>
        </w:trPr>
        <w:tc>
          <w:tcPr>
            <w:tcW w:w="1123" w:type="dxa"/>
            <w:shd w:val="clear" w:color="auto" w:fill="auto"/>
            <w:hideMark/>
          </w:tcPr>
          <w:p w14:paraId="4E1CD14D" w14:textId="77777777" w:rsidR="00425521" w:rsidRPr="00346EF6" w:rsidRDefault="00425521" w:rsidP="00F45445">
            <w:pPr>
              <w:spacing w:after="120"/>
              <w:rPr>
                <w:rFonts w:cs="Arial"/>
                <w:b/>
                <w:szCs w:val="24"/>
              </w:rPr>
            </w:pPr>
            <w:r w:rsidRPr="00346EF6">
              <w:rPr>
                <w:rFonts w:cs="Arial"/>
                <w:b/>
                <w:szCs w:val="24"/>
              </w:rPr>
              <w:t>301</w:t>
            </w:r>
          </w:p>
        </w:tc>
        <w:tc>
          <w:tcPr>
            <w:tcW w:w="2240" w:type="dxa"/>
            <w:shd w:val="clear" w:color="auto" w:fill="auto"/>
            <w:hideMark/>
          </w:tcPr>
          <w:p w14:paraId="42965B87" w14:textId="77777777" w:rsidR="00425521" w:rsidRPr="00346EF6" w:rsidRDefault="00425521" w:rsidP="00425521">
            <w:pPr>
              <w:spacing w:after="120"/>
              <w:rPr>
                <w:rFonts w:cs="Arial"/>
                <w:szCs w:val="24"/>
              </w:rPr>
            </w:pPr>
            <w:r w:rsidRPr="00346EF6">
              <w:rPr>
                <w:rFonts w:cs="Arial"/>
                <w:szCs w:val="24"/>
              </w:rPr>
              <w:t xml:space="preserve">There is a </w:t>
            </w:r>
            <w:r>
              <w:rPr>
                <w:rFonts w:cs="Arial"/>
                <w:szCs w:val="24"/>
              </w:rPr>
              <w:t>Clinical L</w:t>
            </w:r>
            <w:r w:rsidRPr="00346EF6">
              <w:rPr>
                <w:rFonts w:cs="Arial"/>
                <w:szCs w:val="24"/>
              </w:rPr>
              <w:t xml:space="preserve">ead </w:t>
            </w:r>
            <w:r>
              <w:rPr>
                <w:rFonts w:cs="Arial"/>
                <w:szCs w:val="24"/>
              </w:rPr>
              <w:t>for the service</w:t>
            </w:r>
          </w:p>
        </w:tc>
        <w:tc>
          <w:tcPr>
            <w:tcW w:w="2284" w:type="dxa"/>
            <w:shd w:val="clear" w:color="auto" w:fill="auto"/>
            <w:hideMark/>
          </w:tcPr>
          <w:p w14:paraId="1D421ABE" w14:textId="77777777" w:rsidR="00425521" w:rsidRPr="00346EF6" w:rsidRDefault="00425521" w:rsidP="002F2CA8">
            <w:pPr>
              <w:spacing w:after="120"/>
              <w:rPr>
                <w:rFonts w:cs="Arial"/>
                <w:szCs w:val="24"/>
              </w:rPr>
            </w:pPr>
            <w:r w:rsidRPr="00346EF6">
              <w:rPr>
                <w:rFonts w:cs="Arial"/>
                <w:szCs w:val="24"/>
              </w:rPr>
              <w:t xml:space="preserve">There is a </w:t>
            </w:r>
            <w:r>
              <w:rPr>
                <w:rFonts w:cs="Arial"/>
                <w:szCs w:val="24"/>
              </w:rPr>
              <w:t xml:space="preserve">Clinical Lead </w:t>
            </w:r>
            <w:r w:rsidRPr="00346EF6">
              <w:rPr>
                <w:rFonts w:cs="Arial"/>
                <w:szCs w:val="24"/>
              </w:rPr>
              <w:t xml:space="preserve">in place who </w:t>
            </w:r>
            <w:r w:rsidR="002F2CA8">
              <w:rPr>
                <w:rFonts w:cs="Arial"/>
                <w:szCs w:val="24"/>
              </w:rPr>
              <w:t>meets the description in the service specification</w:t>
            </w:r>
          </w:p>
        </w:tc>
        <w:tc>
          <w:tcPr>
            <w:tcW w:w="1393" w:type="dxa"/>
            <w:shd w:val="clear" w:color="auto" w:fill="auto"/>
            <w:hideMark/>
          </w:tcPr>
          <w:p w14:paraId="0C08B68E"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45501CA9"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2D684647" w14:textId="77777777" w:rsidR="00425521" w:rsidRPr="00346EF6" w:rsidRDefault="00425521" w:rsidP="00F45445">
            <w:pPr>
              <w:spacing w:after="120"/>
              <w:rPr>
                <w:rFonts w:cs="Arial"/>
                <w:szCs w:val="24"/>
              </w:rPr>
            </w:pPr>
            <w:r w:rsidRPr="00346EF6">
              <w:rPr>
                <w:rFonts w:cs="Arial"/>
                <w:szCs w:val="24"/>
              </w:rPr>
              <w:t>Self-declaration</w:t>
            </w:r>
          </w:p>
        </w:tc>
        <w:tc>
          <w:tcPr>
            <w:tcW w:w="1175" w:type="dxa"/>
            <w:shd w:val="clear" w:color="auto" w:fill="auto"/>
            <w:hideMark/>
          </w:tcPr>
          <w:p w14:paraId="145CE531" w14:textId="77777777" w:rsidR="00425521" w:rsidRPr="00346EF6" w:rsidRDefault="00425521" w:rsidP="00F45445">
            <w:pPr>
              <w:spacing w:after="120"/>
              <w:rPr>
                <w:rFonts w:cs="Arial"/>
                <w:szCs w:val="24"/>
              </w:rPr>
            </w:pPr>
            <w:r w:rsidRPr="00346EF6">
              <w:rPr>
                <w:rFonts w:cs="Arial"/>
                <w:szCs w:val="24"/>
              </w:rPr>
              <w:t>2, 3, 4</w:t>
            </w:r>
          </w:p>
        </w:tc>
        <w:tc>
          <w:tcPr>
            <w:tcW w:w="2365" w:type="dxa"/>
            <w:shd w:val="clear" w:color="auto" w:fill="auto"/>
            <w:hideMark/>
          </w:tcPr>
          <w:p w14:paraId="4AD142A5" w14:textId="77777777" w:rsidR="00425521" w:rsidRPr="00346EF6" w:rsidRDefault="00425521" w:rsidP="00F45445">
            <w:pPr>
              <w:spacing w:after="120"/>
              <w:rPr>
                <w:rFonts w:cs="Arial"/>
                <w:szCs w:val="24"/>
              </w:rPr>
            </w:pPr>
            <w:r w:rsidRPr="00346EF6">
              <w:rPr>
                <w:rFonts w:cs="Arial"/>
                <w:szCs w:val="24"/>
              </w:rPr>
              <w:t>Well-led</w:t>
            </w:r>
          </w:p>
        </w:tc>
      </w:tr>
      <w:tr w:rsidR="00425521" w:rsidRPr="00346EF6" w14:paraId="3E84ADB8" w14:textId="77777777" w:rsidTr="00F45445">
        <w:trPr>
          <w:trHeight w:val="780"/>
        </w:trPr>
        <w:tc>
          <w:tcPr>
            <w:tcW w:w="1123" w:type="dxa"/>
            <w:shd w:val="clear" w:color="auto" w:fill="auto"/>
            <w:hideMark/>
          </w:tcPr>
          <w:p w14:paraId="06F77455" w14:textId="77777777" w:rsidR="00425521" w:rsidRPr="00346EF6" w:rsidRDefault="00425521" w:rsidP="00F45445">
            <w:pPr>
              <w:spacing w:after="120"/>
              <w:rPr>
                <w:rFonts w:cs="Arial"/>
                <w:b/>
                <w:szCs w:val="24"/>
              </w:rPr>
            </w:pPr>
            <w:r w:rsidRPr="00346EF6">
              <w:rPr>
                <w:rFonts w:cs="Arial"/>
                <w:b/>
                <w:szCs w:val="24"/>
              </w:rPr>
              <w:t>302</w:t>
            </w:r>
          </w:p>
        </w:tc>
        <w:tc>
          <w:tcPr>
            <w:tcW w:w="2240" w:type="dxa"/>
            <w:shd w:val="clear" w:color="auto" w:fill="auto"/>
            <w:hideMark/>
          </w:tcPr>
          <w:p w14:paraId="5E368238" w14:textId="77777777" w:rsidR="00425521" w:rsidRPr="00346EF6" w:rsidRDefault="002F2CA8" w:rsidP="002F2CA8">
            <w:pPr>
              <w:spacing w:after="120"/>
              <w:rPr>
                <w:rFonts w:cs="Arial"/>
                <w:szCs w:val="24"/>
              </w:rPr>
            </w:pPr>
            <w:r>
              <w:rPr>
                <w:rFonts w:cs="Arial"/>
                <w:szCs w:val="24"/>
              </w:rPr>
              <w:t>There is a N</w:t>
            </w:r>
            <w:r w:rsidR="00425521" w:rsidRPr="00346EF6">
              <w:rPr>
                <w:rFonts w:cs="Arial"/>
                <w:szCs w:val="24"/>
              </w:rPr>
              <w:t>amed</w:t>
            </w:r>
            <w:r>
              <w:rPr>
                <w:rFonts w:cs="Arial"/>
                <w:szCs w:val="24"/>
              </w:rPr>
              <w:t xml:space="preserve"> Professional and L</w:t>
            </w:r>
            <w:r w:rsidR="00425521" w:rsidRPr="00346EF6">
              <w:rPr>
                <w:rFonts w:cs="Arial"/>
                <w:szCs w:val="24"/>
              </w:rPr>
              <w:t xml:space="preserve">ead </w:t>
            </w:r>
            <w:proofErr w:type="gramStart"/>
            <w:r>
              <w:rPr>
                <w:rFonts w:cs="Arial"/>
                <w:szCs w:val="24"/>
              </w:rPr>
              <w:t>Clinician</w:t>
            </w:r>
            <w:r w:rsidR="00425521" w:rsidRPr="00346EF6">
              <w:rPr>
                <w:rFonts w:cs="Arial"/>
                <w:szCs w:val="24"/>
              </w:rPr>
              <w:t xml:space="preserve">  allocated</w:t>
            </w:r>
            <w:proofErr w:type="gramEnd"/>
            <w:r w:rsidR="00425521" w:rsidRPr="00346EF6">
              <w:rPr>
                <w:rFonts w:cs="Arial"/>
                <w:szCs w:val="24"/>
              </w:rPr>
              <w:t xml:space="preserve"> for th</w:t>
            </w:r>
            <w:r>
              <w:rPr>
                <w:rFonts w:cs="Arial"/>
                <w:szCs w:val="24"/>
              </w:rPr>
              <w:t>e duration of the patients care</w:t>
            </w:r>
          </w:p>
        </w:tc>
        <w:tc>
          <w:tcPr>
            <w:tcW w:w="2284" w:type="dxa"/>
            <w:shd w:val="clear" w:color="auto" w:fill="auto"/>
            <w:hideMark/>
          </w:tcPr>
          <w:p w14:paraId="6C2E9806" w14:textId="77777777" w:rsidR="00425521" w:rsidRPr="00346EF6" w:rsidRDefault="002F2CA8" w:rsidP="002F2CA8">
            <w:pPr>
              <w:spacing w:after="120"/>
              <w:rPr>
                <w:rFonts w:cs="Arial"/>
                <w:szCs w:val="24"/>
              </w:rPr>
            </w:pPr>
            <w:r>
              <w:rPr>
                <w:rFonts w:cs="Arial"/>
                <w:szCs w:val="24"/>
              </w:rPr>
              <w:t xml:space="preserve">There is a </w:t>
            </w:r>
            <w:proofErr w:type="gramStart"/>
            <w:r>
              <w:rPr>
                <w:rFonts w:cs="Arial"/>
                <w:szCs w:val="24"/>
              </w:rPr>
              <w:t>N</w:t>
            </w:r>
            <w:r w:rsidR="00425521" w:rsidRPr="00346EF6">
              <w:rPr>
                <w:rFonts w:cs="Arial"/>
                <w:szCs w:val="24"/>
              </w:rPr>
              <w:t>amed</w:t>
            </w:r>
            <w:r>
              <w:rPr>
                <w:rFonts w:cs="Arial"/>
                <w:szCs w:val="24"/>
              </w:rPr>
              <w:t xml:space="preserve">  Professional</w:t>
            </w:r>
            <w:proofErr w:type="gramEnd"/>
            <w:r>
              <w:rPr>
                <w:rFonts w:cs="Arial"/>
                <w:szCs w:val="24"/>
              </w:rPr>
              <w:t xml:space="preserve"> and L</w:t>
            </w:r>
            <w:r w:rsidR="00425521" w:rsidRPr="00346EF6">
              <w:rPr>
                <w:rFonts w:cs="Arial"/>
                <w:szCs w:val="24"/>
              </w:rPr>
              <w:t xml:space="preserve">ead </w:t>
            </w:r>
            <w:r>
              <w:rPr>
                <w:rFonts w:cs="Arial"/>
                <w:szCs w:val="24"/>
              </w:rPr>
              <w:t>Clinician</w:t>
            </w:r>
            <w:r w:rsidR="00425521" w:rsidRPr="00346EF6">
              <w:rPr>
                <w:rFonts w:cs="Arial"/>
                <w:szCs w:val="24"/>
              </w:rPr>
              <w:t xml:space="preserve">  allocated for th</w:t>
            </w:r>
            <w:r>
              <w:rPr>
                <w:rFonts w:cs="Arial"/>
                <w:szCs w:val="24"/>
              </w:rPr>
              <w:t>e duration of the patients care</w:t>
            </w:r>
          </w:p>
        </w:tc>
        <w:tc>
          <w:tcPr>
            <w:tcW w:w="1393" w:type="dxa"/>
            <w:shd w:val="clear" w:color="auto" w:fill="auto"/>
            <w:hideMark/>
          </w:tcPr>
          <w:p w14:paraId="528B1DC8"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3E026862"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7D6B5290" w14:textId="77777777" w:rsidR="00425521" w:rsidRPr="00346EF6" w:rsidRDefault="002F2CA8" w:rsidP="00F45445">
            <w:pPr>
              <w:spacing w:after="120"/>
              <w:rPr>
                <w:rFonts w:cs="Arial"/>
                <w:szCs w:val="24"/>
              </w:rPr>
            </w:pPr>
            <w:r w:rsidRPr="00346EF6">
              <w:rPr>
                <w:rFonts w:cs="Arial"/>
                <w:szCs w:val="24"/>
              </w:rPr>
              <w:t>Self-declaration</w:t>
            </w:r>
          </w:p>
        </w:tc>
        <w:tc>
          <w:tcPr>
            <w:tcW w:w="1175" w:type="dxa"/>
            <w:shd w:val="clear" w:color="auto" w:fill="auto"/>
            <w:hideMark/>
          </w:tcPr>
          <w:p w14:paraId="194B4BC9" w14:textId="77777777" w:rsidR="00425521" w:rsidRPr="00346EF6" w:rsidRDefault="00425521" w:rsidP="00F45445">
            <w:pPr>
              <w:spacing w:after="120"/>
              <w:rPr>
                <w:rFonts w:cs="Arial"/>
                <w:szCs w:val="24"/>
              </w:rPr>
            </w:pPr>
            <w:r w:rsidRPr="00346EF6">
              <w:rPr>
                <w:rFonts w:cs="Arial"/>
                <w:szCs w:val="24"/>
              </w:rPr>
              <w:t>4</w:t>
            </w:r>
          </w:p>
        </w:tc>
        <w:tc>
          <w:tcPr>
            <w:tcW w:w="2365" w:type="dxa"/>
            <w:shd w:val="clear" w:color="auto" w:fill="auto"/>
            <w:hideMark/>
          </w:tcPr>
          <w:p w14:paraId="78A72007" w14:textId="77777777" w:rsidR="00425521" w:rsidRPr="00346EF6" w:rsidRDefault="001D496D" w:rsidP="00F45445">
            <w:pPr>
              <w:spacing w:after="120"/>
              <w:rPr>
                <w:rFonts w:cs="Arial"/>
                <w:szCs w:val="24"/>
              </w:rPr>
            </w:pPr>
            <w:r>
              <w:rPr>
                <w:rFonts w:cs="Arial"/>
                <w:szCs w:val="24"/>
              </w:rPr>
              <w:t>Effec</w:t>
            </w:r>
            <w:r w:rsidR="00425521" w:rsidRPr="00346EF6">
              <w:rPr>
                <w:rFonts w:cs="Arial"/>
                <w:szCs w:val="24"/>
              </w:rPr>
              <w:t>tive, caring</w:t>
            </w:r>
          </w:p>
        </w:tc>
      </w:tr>
      <w:tr w:rsidR="00425521" w:rsidRPr="00346EF6" w14:paraId="22B8B466" w14:textId="77777777" w:rsidTr="00F45445">
        <w:trPr>
          <w:trHeight w:val="1875"/>
        </w:trPr>
        <w:tc>
          <w:tcPr>
            <w:tcW w:w="1123" w:type="dxa"/>
            <w:shd w:val="clear" w:color="auto" w:fill="auto"/>
            <w:hideMark/>
          </w:tcPr>
          <w:p w14:paraId="03094B62" w14:textId="77777777" w:rsidR="00425521" w:rsidRPr="00346EF6" w:rsidRDefault="00425521" w:rsidP="00F45445">
            <w:pPr>
              <w:spacing w:after="120"/>
              <w:rPr>
                <w:rFonts w:cs="Arial"/>
                <w:b/>
                <w:szCs w:val="24"/>
              </w:rPr>
            </w:pPr>
            <w:r w:rsidRPr="00346EF6">
              <w:rPr>
                <w:rFonts w:cs="Arial"/>
                <w:b/>
                <w:szCs w:val="24"/>
              </w:rPr>
              <w:lastRenderedPageBreak/>
              <w:t>303</w:t>
            </w:r>
          </w:p>
        </w:tc>
        <w:tc>
          <w:tcPr>
            <w:tcW w:w="2240" w:type="dxa"/>
            <w:shd w:val="clear" w:color="auto" w:fill="auto"/>
            <w:hideMark/>
          </w:tcPr>
          <w:p w14:paraId="169D926C" w14:textId="77777777" w:rsidR="00425521" w:rsidRPr="00346EF6" w:rsidRDefault="00425521" w:rsidP="00F45445">
            <w:pPr>
              <w:spacing w:after="120"/>
              <w:rPr>
                <w:rFonts w:cs="Arial"/>
                <w:szCs w:val="24"/>
              </w:rPr>
            </w:pPr>
            <w:r w:rsidRPr="00346EF6">
              <w:rPr>
                <w:rFonts w:cs="Arial"/>
                <w:szCs w:val="24"/>
              </w:rPr>
              <w:t>There is a system of corporate governance, including a nominated senior manager who provides guidanc</w:t>
            </w:r>
            <w:r w:rsidR="002F2CA8">
              <w:rPr>
                <w:rFonts w:cs="Arial"/>
                <w:szCs w:val="24"/>
              </w:rPr>
              <w:t>e, oversight and accountability</w:t>
            </w:r>
          </w:p>
        </w:tc>
        <w:tc>
          <w:tcPr>
            <w:tcW w:w="2284" w:type="dxa"/>
            <w:shd w:val="clear" w:color="auto" w:fill="auto"/>
            <w:hideMark/>
          </w:tcPr>
          <w:p w14:paraId="3606E5F8" w14:textId="77777777" w:rsidR="00425521" w:rsidRPr="00346EF6" w:rsidRDefault="00425521" w:rsidP="00F45445">
            <w:pPr>
              <w:spacing w:after="120"/>
              <w:rPr>
                <w:rFonts w:cs="Arial"/>
                <w:szCs w:val="24"/>
              </w:rPr>
            </w:pPr>
            <w:r w:rsidRPr="00346EF6">
              <w:rPr>
                <w:rFonts w:cs="Arial"/>
                <w:szCs w:val="24"/>
              </w:rPr>
              <w:t>There is a system of corporate governance, including a nominated senior manager who provides guidanc</w:t>
            </w:r>
            <w:r w:rsidR="002F2CA8">
              <w:rPr>
                <w:rFonts w:cs="Arial"/>
                <w:szCs w:val="24"/>
              </w:rPr>
              <w:t>e, oversight and accountability</w:t>
            </w:r>
          </w:p>
        </w:tc>
        <w:tc>
          <w:tcPr>
            <w:tcW w:w="1393" w:type="dxa"/>
            <w:shd w:val="clear" w:color="auto" w:fill="auto"/>
            <w:hideMark/>
          </w:tcPr>
          <w:p w14:paraId="41B1366E" w14:textId="77777777" w:rsidR="00425521" w:rsidRPr="00346EF6" w:rsidRDefault="00425521" w:rsidP="00F45445">
            <w:pPr>
              <w:spacing w:after="120"/>
              <w:rPr>
                <w:rFonts w:cs="Arial"/>
                <w:szCs w:val="24"/>
              </w:rPr>
            </w:pPr>
          </w:p>
        </w:tc>
        <w:tc>
          <w:tcPr>
            <w:tcW w:w="1485" w:type="dxa"/>
            <w:shd w:val="clear" w:color="auto" w:fill="auto"/>
            <w:hideMark/>
          </w:tcPr>
          <w:p w14:paraId="468203E9"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04DCD558" w14:textId="77777777" w:rsidR="00425521" w:rsidRPr="00346EF6" w:rsidRDefault="002F2CA8" w:rsidP="00F45445">
            <w:pPr>
              <w:spacing w:after="120"/>
              <w:rPr>
                <w:rFonts w:cs="Arial"/>
                <w:szCs w:val="24"/>
              </w:rPr>
            </w:pPr>
            <w:r w:rsidRPr="00346EF6">
              <w:rPr>
                <w:rFonts w:cs="Arial"/>
                <w:szCs w:val="24"/>
              </w:rPr>
              <w:t>Self-declaration</w:t>
            </w:r>
          </w:p>
        </w:tc>
        <w:tc>
          <w:tcPr>
            <w:tcW w:w="1175" w:type="dxa"/>
            <w:shd w:val="clear" w:color="auto" w:fill="auto"/>
            <w:hideMark/>
          </w:tcPr>
          <w:p w14:paraId="26F14053" w14:textId="77777777" w:rsidR="00425521" w:rsidRPr="00346EF6" w:rsidRDefault="00425521" w:rsidP="00F45445">
            <w:pPr>
              <w:spacing w:after="120"/>
              <w:rPr>
                <w:rFonts w:cs="Arial"/>
                <w:szCs w:val="24"/>
              </w:rPr>
            </w:pPr>
            <w:r w:rsidRPr="00346EF6">
              <w:rPr>
                <w:rFonts w:cs="Arial"/>
                <w:szCs w:val="24"/>
              </w:rPr>
              <w:t>5</w:t>
            </w:r>
          </w:p>
        </w:tc>
        <w:tc>
          <w:tcPr>
            <w:tcW w:w="2365" w:type="dxa"/>
            <w:shd w:val="clear" w:color="auto" w:fill="auto"/>
            <w:hideMark/>
          </w:tcPr>
          <w:p w14:paraId="103D8234" w14:textId="77777777" w:rsidR="00425521" w:rsidRPr="00346EF6" w:rsidRDefault="00425521" w:rsidP="00F45445">
            <w:pPr>
              <w:spacing w:after="120"/>
              <w:rPr>
                <w:rFonts w:cs="Arial"/>
                <w:szCs w:val="24"/>
              </w:rPr>
            </w:pPr>
            <w:r w:rsidRPr="00346EF6">
              <w:rPr>
                <w:rFonts w:cs="Arial"/>
                <w:szCs w:val="24"/>
              </w:rPr>
              <w:t>safe, effective, well-led</w:t>
            </w:r>
          </w:p>
        </w:tc>
      </w:tr>
      <w:tr w:rsidR="00425521" w:rsidRPr="00346EF6" w14:paraId="785503A0" w14:textId="77777777" w:rsidTr="00F45445">
        <w:trPr>
          <w:trHeight w:val="1155"/>
        </w:trPr>
        <w:tc>
          <w:tcPr>
            <w:tcW w:w="1123" w:type="dxa"/>
            <w:shd w:val="clear" w:color="auto" w:fill="auto"/>
            <w:hideMark/>
          </w:tcPr>
          <w:p w14:paraId="22ED66AD" w14:textId="77777777" w:rsidR="00425521" w:rsidRPr="00346EF6" w:rsidRDefault="00425521" w:rsidP="00F45445">
            <w:pPr>
              <w:spacing w:after="120"/>
              <w:rPr>
                <w:rFonts w:cs="Arial"/>
                <w:b/>
                <w:szCs w:val="24"/>
              </w:rPr>
            </w:pPr>
            <w:r w:rsidRPr="00346EF6">
              <w:rPr>
                <w:rFonts w:cs="Arial"/>
                <w:b/>
                <w:szCs w:val="24"/>
              </w:rPr>
              <w:t>304</w:t>
            </w:r>
          </w:p>
        </w:tc>
        <w:tc>
          <w:tcPr>
            <w:tcW w:w="2240" w:type="dxa"/>
            <w:shd w:val="clear" w:color="auto" w:fill="auto"/>
            <w:hideMark/>
          </w:tcPr>
          <w:p w14:paraId="0888C87A" w14:textId="77777777" w:rsidR="002F2CA8" w:rsidRPr="00346EF6" w:rsidRDefault="00425521" w:rsidP="00F45445">
            <w:pPr>
              <w:spacing w:after="120"/>
              <w:rPr>
                <w:rFonts w:cs="Arial"/>
                <w:szCs w:val="24"/>
              </w:rPr>
            </w:pPr>
            <w:r w:rsidRPr="00346EF6">
              <w:rPr>
                <w:rFonts w:cs="Arial"/>
                <w:szCs w:val="24"/>
              </w:rPr>
              <w:t>Patients receiving endocrine and pharmacological interventions</w:t>
            </w:r>
            <w:r w:rsidR="002F2CA8">
              <w:rPr>
                <w:rFonts w:cs="Arial"/>
                <w:szCs w:val="24"/>
              </w:rPr>
              <w:t xml:space="preserve"> are reviewed at least annually</w:t>
            </w:r>
          </w:p>
        </w:tc>
        <w:tc>
          <w:tcPr>
            <w:tcW w:w="2284" w:type="dxa"/>
            <w:shd w:val="clear" w:color="auto" w:fill="auto"/>
            <w:hideMark/>
          </w:tcPr>
          <w:p w14:paraId="027FAAB2" w14:textId="77777777" w:rsidR="00425521" w:rsidRPr="00346EF6" w:rsidRDefault="00425521" w:rsidP="00F45445">
            <w:pPr>
              <w:spacing w:after="120"/>
              <w:rPr>
                <w:rFonts w:cs="Arial"/>
                <w:szCs w:val="24"/>
              </w:rPr>
            </w:pPr>
            <w:r w:rsidRPr="00346EF6">
              <w:rPr>
                <w:rFonts w:cs="Arial"/>
                <w:szCs w:val="24"/>
              </w:rPr>
              <w:t>Patients receiving endocrine or pharmacological interventions have these reviewed ann</w:t>
            </w:r>
            <w:r w:rsidR="002F2CA8">
              <w:rPr>
                <w:rFonts w:cs="Arial"/>
                <w:szCs w:val="24"/>
              </w:rPr>
              <w:t>ually by a medical practitioner</w:t>
            </w:r>
          </w:p>
        </w:tc>
        <w:tc>
          <w:tcPr>
            <w:tcW w:w="1393" w:type="dxa"/>
            <w:shd w:val="clear" w:color="auto" w:fill="auto"/>
            <w:hideMark/>
          </w:tcPr>
          <w:p w14:paraId="76C40EE1"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5A7BD1FD"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5B33B83E" w14:textId="77777777" w:rsidR="00425521" w:rsidRPr="00346EF6" w:rsidRDefault="002F2CA8" w:rsidP="00F45445">
            <w:pPr>
              <w:spacing w:after="120"/>
              <w:rPr>
                <w:rFonts w:cs="Arial"/>
                <w:szCs w:val="24"/>
              </w:rPr>
            </w:pPr>
            <w:r w:rsidRPr="00346EF6">
              <w:rPr>
                <w:rFonts w:cs="Arial"/>
                <w:szCs w:val="24"/>
              </w:rPr>
              <w:t>Self-declaration</w:t>
            </w:r>
          </w:p>
        </w:tc>
        <w:tc>
          <w:tcPr>
            <w:tcW w:w="1175" w:type="dxa"/>
            <w:shd w:val="clear" w:color="auto" w:fill="auto"/>
            <w:hideMark/>
          </w:tcPr>
          <w:p w14:paraId="6A2FFA7D" w14:textId="77777777" w:rsidR="00425521" w:rsidRPr="00346EF6" w:rsidRDefault="00425521" w:rsidP="00F45445">
            <w:pPr>
              <w:spacing w:after="120"/>
              <w:rPr>
                <w:rFonts w:cs="Arial"/>
                <w:szCs w:val="24"/>
              </w:rPr>
            </w:pPr>
            <w:r w:rsidRPr="00346EF6">
              <w:rPr>
                <w:rFonts w:cs="Arial"/>
                <w:szCs w:val="24"/>
              </w:rPr>
              <w:t>2, 3, 4</w:t>
            </w:r>
          </w:p>
        </w:tc>
        <w:tc>
          <w:tcPr>
            <w:tcW w:w="2365" w:type="dxa"/>
            <w:shd w:val="clear" w:color="auto" w:fill="auto"/>
            <w:hideMark/>
          </w:tcPr>
          <w:p w14:paraId="4DA970B1" w14:textId="77777777" w:rsidR="00425521" w:rsidRPr="00346EF6" w:rsidRDefault="00425521" w:rsidP="00F45445">
            <w:pPr>
              <w:spacing w:after="120"/>
              <w:rPr>
                <w:rFonts w:cs="Arial"/>
                <w:szCs w:val="24"/>
              </w:rPr>
            </w:pPr>
            <w:r w:rsidRPr="00346EF6">
              <w:rPr>
                <w:rFonts w:cs="Arial"/>
                <w:szCs w:val="24"/>
              </w:rPr>
              <w:t>Safe, effective, caring, responsive</w:t>
            </w:r>
          </w:p>
        </w:tc>
      </w:tr>
      <w:tr w:rsidR="00425521" w:rsidRPr="00346EF6" w14:paraId="7291BA36" w14:textId="77777777" w:rsidTr="00F45445">
        <w:trPr>
          <w:trHeight w:val="1155"/>
        </w:trPr>
        <w:tc>
          <w:tcPr>
            <w:tcW w:w="1123" w:type="dxa"/>
            <w:shd w:val="clear" w:color="auto" w:fill="auto"/>
            <w:hideMark/>
          </w:tcPr>
          <w:p w14:paraId="7078FC58" w14:textId="77777777" w:rsidR="00425521" w:rsidRPr="00346EF6" w:rsidRDefault="00425521" w:rsidP="00F45445">
            <w:pPr>
              <w:spacing w:after="120"/>
              <w:rPr>
                <w:rFonts w:cs="Arial"/>
                <w:b/>
                <w:szCs w:val="24"/>
              </w:rPr>
            </w:pPr>
            <w:r w:rsidRPr="00346EF6">
              <w:rPr>
                <w:rFonts w:cs="Arial"/>
                <w:b/>
                <w:szCs w:val="24"/>
              </w:rPr>
              <w:t>305</w:t>
            </w:r>
          </w:p>
        </w:tc>
        <w:tc>
          <w:tcPr>
            <w:tcW w:w="2240" w:type="dxa"/>
            <w:shd w:val="clear" w:color="auto" w:fill="auto"/>
            <w:hideMark/>
          </w:tcPr>
          <w:p w14:paraId="6C75B979" w14:textId="77777777" w:rsidR="00425521" w:rsidRPr="00346EF6" w:rsidRDefault="00425521" w:rsidP="00F45445">
            <w:pPr>
              <w:spacing w:after="120"/>
              <w:rPr>
                <w:rFonts w:cs="Arial"/>
                <w:szCs w:val="24"/>
              </w:rPr>
            </w:pPr>
            <w:r w:rsidRPr="00346EF6">
              <w:rPr>
                <w:rFonts w:cs="Arial"/>
                <w:szCs w:val="24"/>
              </w:rPr>
              <w:t>There is an agreed patient pathway</w:t>
            </w:r>
          </w:p>
        </w:tc>
        <w:tc>
          <w:tcPr>
            <w:tcW w:w="2284" w:type="dxa"/>
            <w:shd w:val="clear" w:color="auto" w:fill="auto"/>
            <w:hideMark/>
          </w:tcPr>
          <w:p w14:paraId="7B593A62" w14:textId="77777777" w:rsidR="00425521" w:rsidRPr="00346EF6" w:rsidRDefault="00425521" w:rsidP="00F45445">
            <w:pPr>
              <w:spacing w:after="120"/>
              <w:rPr>
                <w:rFonts w:cs="Arial"/>
                <w:szCs w:val="24"/>
              </w:rPr>
            </w:pPr>
            <w:r w:rsidRPr="00346EF6">
              <w:rPr>
                <w:rFonts w:cs="Arial"/>
                <w:szCs w:val="24"/>
              </w:rPr>
              <w:t>There should be a patient pathway in place as pe</w:t>
            </w:r>
            <w:r w:rsidR="002F2CA8">
              <w:rPr>
                <w:rFonts w:cs="Arial"/>
                <w:szCs w:val="24"/>
              </w:rPr>
              <w:t>r the service specification</w:t>
            </w:r>
          </w:p>
        </w:tc>
        <w:tc>
          <w:tcPr>
            <w:tcW w:w="1393" w:type="dxa"/>
            <w:shd w:val="clear" w:color="auto" w:fill="auto"/>
            <w:hideMark/>
          </w:tcPr>
          <w:p w14:paraId="2921C34E"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0F4E4B00"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499FF34D" w14:textId="77777777" w:rsidR="00425521" w:rsidRPr="00346EF6" w:rsidRDefault="002F2CA8" w:rsidP="00F45445">
            <w:pPr>
              <w:spacing w:after="120"/>
              <w:rPr>
                <w:rFonts w:cs="Arial"/>
                <w:szCs w:val="24"/>
              </w:rPr>
            </w:pPr>
            <w:r w:rsidRPr="00346EF6">
              <w:rPr>
                <w:rFonts w:cs="Arial"/>
                <w:szCs w:val="24"/>
              </w:rPr>
              <w:t>Self-declaration</w:t>
            </w:r>
          </w:p>
        </w:tc>
        <w:tc>
          <w:tcPr>
            <w:tcW w:w="1175" w:type="dxa"/>
            <w:shd w:val="clear" w:color="auto" w:fill="auto"/>
            <w:hideMark/>
          </w:tcPr>
          <w:p w14:paraId="1845A293" w14:textId="77777777" w:rsidR="00425521" w:rsidRPr="00346EF6" w:rsidRDefault="00425521" w:rsidP="00F45445">
            <w:pPr>
              <w:spacing w:after="120"/>
              <w:rPr>
                <w:rFonts w:cs="Arial"/>
                <w:szCs w:val="24"/>
              </w:rPr>
            </w:pPr>
            <w:r w:rsidRPr="00346EF6">
              <w:rPr>
                <w:rFonts w:cs="Arial"/>
                <w:szCs w:val="24"/>
              </w:rPr>
              <w:t>2, 3, 4, 5</w:t>
            </w:r>
          </w:p>
        </w:tc>
        <w:tc>
          <w:tcPr>
            <w:tcW w:w="2365" w:type="dxa"/>
            <w:shd w:val="clear" w:color="auto" w:fill="auto"/>
            <w:hideMark/>
          </w:tcPr>
          <w:p w14:paraId="427A8D76" w14:textId="77777777" w:rsidR="00425521" w:rsidRPr="00346EF6" w:rsidRDefault="00425521" w:rsidP="00F45445">
            <w:pPr>
              <w:spacing w:after="120"/>
              <w:rPr>
                <w:rFonts w:cs="Arial"/>
                <w:szCs w:val="24"/>
              </w:rPr>
            </w:pPr>
            <w:r w:rsidRPr="00346EF6">
              <w:rPr>
                <w:rFonts w:cs="Arial"/>
                <w:szCs w:val="24"/>
              </w:rPr>
              <w:t>Safe, effective, caring, responsive</w:t>
            </w:r>
          </w:p>
        </w:tc>
      </w:tr>
      <w:tr w:rsidR="00425521" w:rsidRPr="00346EF6" w14:paraId="2617DC5D" w14:textId="77777777" w:rsidTr="00F45445">
        <w:trPr>
          <w:trHeight w:val="1155"/>
        </w:trPr>
        <w:tc>
          <w:tcPr>
            <w:tcW w:w="1123" w:type="dxa"/>
            <w:shd w:val="clear" w:color="auto" w:fill="auto"/>
            <w:hideMark/>
          </w:tcPr>
          <w:p w14:paraId="5BA19B5B" w14:textId="77777777" w:rsidR="00425521" w:rsidRPr="00346EF6" w:rsidRDefault="00425521" w:rsidP="00F45445">
            <w:pPr>
              <w:spacing w:after="120"/>
              <w:rPr>
                <w:rFonts w:cs="Arial"/>
                <w:b/>
                <w:szCs w:val="24"/>
              </w:rPr>
            </w:pPr>
            <w:r w:rsidRPr="00346EF6">
              <w:rPr>
                <w:rFonts w:cs="Arial"/>
                <w:b/>
                <w:szCs w:val="24"/>
              </w:rPr>
              <w:t>306</w:t>
            </w:r>
          </w:p>
        </w:tc>
        <w:tc>
          <w:tcPr>
            <w:tcW w:w="2240" w:type="dxa"/>
            <w:shd w:val="clear" w:color="auto" w:fill="auto"/>
            <w:hideMark/>
          </w:tcPr>
          <w:p w14:paraId="61D1E812" w14:textId="77777777" w:rsidR="00425521" w:rsidRPr="00346EF6" w:rsidRDefault="00425521" w:rsidP="00F45445">
            <w:pPr>
              <w:spacing w:after="120"/>
              <w:rPr>
                <w:rFonts w:cs="Arial"/>
                <w:szCs w:val="24"/>
              </w:rPr>
            </w:pPr>
            <w:r w:rsidRPr="00346EF6">
              <w:rPr>
                <w:rFonts w:cs="Arial"/>
                <w:szCs w:val="24"/>
              </w:rPr>
              <w:t xml:space="preserve">There </w:t>
            </w:r>
            <w:r w:rsidR="002F2CA8">
              <w:rPr>
                <w:rFonts w:cs="Arial"/>
                <w:szCs w:val="24"/>
              </w:rPr>
              <w:t>are transition clinics in place</w:t>
            </w:r>
          </w:p>
        </w:tc>
        <w:tc>
          <w:tcPr>
            <w:tcW w:w="2284" w:type="dxa"/>
            <w:shd w:val="clear" w:color="auto" w:fill="auto"/>
            <w:hideMark/>
          </w:tcPr>
          <w:p w14:paraId="4CC0D799" w14:textId="77777777" w:rsidR="00425521" w:rsidRPr="00346EF6" w:rsidRDefault="00425521" w:rsidP="00F45445">
            <w:pPr>
              <w:spacing w:after="120"/>
              <w:rPr>
                <w:rFonts w:cs="Arial"/>
                <w:szCs w:val="24"/>
              </w:rPr>
            </w:pPr>
            <w:r w:rsidRPr="00346EF6">
              <w:rPr>
                <w:rFonts w:cs="Arial"/>
                <w:szCs w:val="24"/>
              </w:rPr>
              <w:t>Arrangements exist which include joint transition clinics to ensure the transfer of care of patients from ad</w:t>
            </w:r>
            <w:r w:rsidR="002F2CA8">
              <w:rPr>
                <w:rFonts w:cs="Arial"/>
                <w:szCs w:val="24"/>
              </w:rPr>
              <w:t>olescence to adulthood services</w:t>
            </w:r>
          </w:p>
        </w:tc>
        <w:tc>
          <w:tcPr>
            <w:tcW w:w="1393" w:type="dxa"/>
            <w:shd w:val="clear" w:color="auto" w:fill="auto"/>
            <w:hideMark/>
          </w:tcPr>
          <w:p w14:paraId="1D1BF95A"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5539B355"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21A1A237" w14:textId="77777777" w:rsidR="00425521" w:rsidRPr="00346EF6" w:rsidRDefault="002F2CA8" w:rsidP="00F45445">
            <w:pPr>
              <w:spacing w:after="120"/>
              <w:rPr>
                <w:rFonts w:cs="Arial"/>
                <w:szCs w:val="24"/>
              </w:rPr>
            </w:pPr>
            <w:r w:rsidRPr="00346EF6">
              <w:rPr>
                <w:rFonts w:cs="Arial"/>
                <w:szCs w:val="24"/>
              </w:rPr>
              <w:t>Self-declaration</w:t>
            </w:r>
          </w:p>
        </w:tc>
        <w:tc>
          <w:tcPr>
            <w:tcW w:w="1175" w:type="dxa"/>
            <w:shd w:val="clear" w:color="auto" w:fill="auto"/>
            <w:hideMark/>
          </w:tcPr>
          <w:p w14:paraId="50D8E5C1" w14:textId="77777777" w:rsidR="00425521" w:rsidRPr="00346EF6" w:rsidRDefault="00425521" w:rsidP="00F45445">
            <w:pPr>
              <w:spacing w:after="120"/>
              <w:rPr>
                <w:rFonts w:cs="Arial"/>
                <w:szCs w:val="24"/>
              </w:rPr>
            </w:pPr>
            <w:r w:rsidRPr="00346EF6">
              <w:rPr>
                <w:rFonts w:cs="Arial"/>
                <w:szCs w:val="24"/>
              </w:rPr>
              <w:t>2, 4</w:t>
            </w:r>
          </w:p>
        </w:tc>
        <w:tc>
          <w:tcPr>
            <w:tcW w:w="2365" w:type="dxa"/>
            <w:shd w:val="clear" w:color="auto" w:fill="auto"/>
            <w:hideMark/>
          </w:tcPr>
          <w:p w14:paraId="2BF30BC9" w14:textId="77777777" w:rsidR="00425521" w:rsidRPr="00346EF6" w:rsidRDefault="00425521" w:rsidP="00F45445">
            <w:pPr>
              <w:spacing w:after="120"/>
              <w:rPr>
                <w:rFonts w:cs="Arial"/>
                <w:szCs w:val="24"/>
              </w:rPr>
            </w:pPr>
            <w:r w:rsidRPr="00346EF6">
              <w:rPr>
                <w:rFonts w:cs="Arial"/>
                <w:szCs w:val="24"/>
              </w:rPr>
              <w:t>Safe, effective, caring, responsive</w:t>
            </w:r>
          </w:p>
        </w:tc>
      </w:tr>
      <w:tr w:rsidR="00425521" w:rsidRPr="00346EF6" w14:paraId="18805915" w14:textId="77777777" w:rsidTr="00F45445">
        <w:trPr>
          <w:trHeight w:val="1155"/>
        </w:trPr>
        <w:tc>
          <w:tcPr>
            <w:tcW w:w="1123" w:type="dxa"/>
            <w:shd w:val="clear" w:color="auto" w:fill="auto"/>
            <w:hideMark/>
          </w:tcPr>
          <w:p w14:paraId="7C6D940E" w14:textId="77777777" w:rsidR="00425521" w:rsidRPr="00346EF6" w:rsidRDefault="00425521" w:rsidP="00F45445">
            <w:pPr>
              <w:spacing w:after="120"/>
              <w:rPr>
                <w:rFonts w:cs="Arial"/>
                <w:b/>
                <w:szCs w:val="24"/>
              </w:rPr>
            </w:pPr>
            <w:r w:rsidRPr="00346EF6">
              <w:rPr>
                <w:rFonts w:cs="Arial"/>
                <w:b/>
                <w:szCs w:val="24"/>
              </w:rPr>
              <w:lastRenderedPageBreak/>
              <w:t>307</w:t>
            </w:r>
          </w:p>
        </w:tc>
        <w:tc>
          <w:tcPr>
            <w:tcW w:w="2240" w:type="dxa"/>
            <w:shd w:val="clear" w:color="auto" w:fill="auto"/>
            <w:hideMark/>
          </w:tcPr>
          <w:p w14:paraId="12D5C6BD" w14:textId="77777777" w:rsidR="00425521" w:rsidRPr="00346EF6" w:rsidRDefault="00425521" w:rsidP="00F45445">
            <w:pPr>
              <w:spacing w:after="120"/>
              <w:rPr>
                <w:rFonts w:cs="Arial"/>
                <w:szCs w:val="24"/>
              </w:rPr>
            </w:pPr>
            <w:r w:rsidRPr="00346EF6">
              <w:rPr>
                <w:rFonts w:cs="Arial"/>
                <w:szCs w:val="24"/>
              </w:rPr>
              <w:t>The team participates in clinical audit activity on an annual basis, participating in</w:t>
            </w:r>
            <w:r w:rsidR="002F2CA8">
              <w:rPr>
                <w:rFonts w:cs="Arial"/>
                <w:szCs w:val="24"/>
              </w:rPr>
              <w:t xml:space="preserve"> both local and national audits</w:t>
            </w:r>
          </w:p>
        </w:tc>
        <w:tc>
          <w:tcPr>
            <w:tcW w:w="2284" w:type="dxa"/>
            <w:shd w:val="clear" w:color="auto" w:fill="auto"/>
            <w:hideMark/>
          </w:tcPr>
          <w:p w14:paraId="2E35F8A2" w14:textId="77777777" w:rsidR="00425521" w:rsidRPr="00346EF6" w:rsidRDefault="00425521" w:rsidP="00F45445">
            <w:pPr>
              <w:spacing w:after="120"/>
              <w:rPr>
                <w:rFonts w:cs="Arial"/>
                <w:szCs w:val="24"/>
              </w:rPr>
            </w:pPr>
            <w:r w:rsidRPr="00346EF6">
              <w:rPr>
                <w:rFonts w:cs="Arial"/>
                <w:szCs w:val="24"/>
              </w:rPr>
              <w:t>The team participates in clinical audit activity on an annual basis, participating in</w:t>
            </w:r>
            <w:r w:rsidR="002F2CA8">
              <w:rPr>
                <w:rFonts w:cs="Arial"/>
                <w:szCs w:val="24"/>
              </w:rPr>
              <w:t xml:space="preserve"> both local and national audits</w:t>
            </w:r>
          </w:p>
        </w:tc>
        <w:tc>
          <w:tcPr>
            <w:tcW w:w="1393" w:type="dxa"/>
            <w:shd w:val="clear" w:color="auto" w:fill="auto"/>
            <w:hideMark/>
          </w:tcPr>
          <w:p w14:paraId="67902CA0" w14:textId="77777777" w:rsidR="00425521" w:rsidRPr="00346EF6" w:rsidRDefault="00425521" w:rsidP="00F45445">
            <w:pPr>
              <w:spacing w:after="120"/>
              <w:rPr>
                <w:rFonts w:cs="Arial"/>
                <w:szCs w:val="24"/>
              </w:rPr>
            </w:pPr>
            <w:r w:rsidRPr="00346EF6">
              <w:rPr>
                <w:rFonts w:cs="Arial"/>
                <w:szCs w:val="24"/>
              </w:rPr>
              <w:t> </w:t>
            </w:r>
          </w:p>
        </w:tc>
        <w:tc>
          <w:tcPr>
            <w:tcW w:w="1485" w:type="dxa"/>
            <w:shd w:val="clear" w:color="auto" w:fill="auto"/>
            <w:hideMark/>
          </w:tcPr>
          <w:p w14:paraId="210CE4CC" w14:textId="77777777" w:rsidR="00425521" w:rsidRPr="00346EF6" w:rsidRDefault="00425521" w:rsidP="00F45445">
            <w:pPr>
              <w:spacing w:after="120"/>
              <w:rPr>
                <w:rFonts w:cs="Arial"/>
                <w:szCs w:val="24"/>
              </w:rPr>
            </w:pPr>
            <w:r w:rsidRPr="00346EF6">
              <w:rPr>
                <w:rFonts w:cs="Arial"/>
                <w:szCs w:val="24"/>
              </w:rPr>
              <w:t>Operational Policy</w:t>
            </w:r>
          </w:p>
        </w:tc>
        <w:tc>
          <w:tcPr>
            <w:tcW w:w="1412" w:type="dxa"/>
            <w:shd w:val="clear" w:color="auto" w:fill="auto"/>
            <w:hideMark/>
          </w:tcPr>
          <w:p w14:paraId="06B22474" w14:textId="77777777" w:rsidR="00425521" w:rsidRPr="00346EF6" w:rsidRDefault="002F2CA8" w:rsidP="00F45445">
            <w:pPr>
              <w:spacing w:after="120"/>
              <w:rPr>
                <w:rFonts w:cs="Arial"/>
                <w:szCs w:val="24"/>
              </w:rPr>
            </w:pPr>
            <w:r w:rsidRPr="00346EF6">
              <w:rPr>
                <w:rFonts w:cs="Arial"/>
                <w:szCs w:val="24"/>
              </w:rPr>
              <w:t>Self-declaration</w:t>
            </w:r>
          </w:p>
        </w:tc>
        <w:tc>
          <w:tcPr>
            <w:tcW w:w="1175" w:type="dxa"/>
            <w:shd w:val="clear" w:color="auto" w:fill="auto"/>
            <w:hideMark/>
          </w:tcPr>
          <w:p w14:paraId="7B2D2E69" w14:textId="77777777" w:rsidR="00425521" w:rsidRPr="00346EF6" w:rsidRDefault="00425521" w:rsidP="00F45445">
            <w:pPr>
              <w:spacing w:after="120"/>
              <w:rPr>
                <w:rFonts w:cs="Arial"/>
                <w:szCs w:val="24"/>
              </w:rPr>
            </w:pPr>
            <w:r w:rsidRPr="00346EF6">
              <w:rPr>
                <w:rFonts w:cs="Arial"/>
                <w:szCs w:val="24"/>
              </w:rPr>
              <w:t>1, 2, 3, 4</w:t>
            </w:r>
          </w:p>
        </w:tc>
        <w:tc>
          <w:tcPr>
            <w:tcW w:w="2365" w:type="dxa"/>
            <w:shd w:val="clear" w:color="auto" w:fill="auto"/>
            <w:hideMark/>
          </w:tcPr>
          <w:p w14:paraId="0F5A5BCC" w14:textId="77777777" w:rsidR="00425521" w:rsidRPr="00346EF6" w:rsidRDefault="001D496D" w:rsidP="00F45445">
            <w:pPr>
              <w:spacing w:after="120"/>
              <w:rPr>
                <w:rFonts w:cs="Arial"/>
                <w:szCs w:val="24"/>
              </w:rPr>
            </w:pPr>
            <w:r>
              <w:rPr>
                <w:rFonts w:cs="Arial"/>
                <w:szCs w:val="24"/>
              </w:rPr>
              <w:t>Well-led, safe, e</w:t>
            </w:r>
            <w:r w:rsidR="00425521" w:rsidRPr="00346EF6">
              <w:rPr>
                <w:rFonts w:cs="Arial"/>
                <w:szCs w:val="24"/>
              </w:rPr>
              <w:t>ffective, caring</w:t>
            </w:r>
          </w:p>
        </w:tc>
      </w:tr>
    </w:tbl>
    <w:p w14:paraId="0EE64868" w14:textId="77777777" w:rsidR="00425521" w:rsidRDefault="00425521" w:rsidP="00425521">
      <w:pPr>
        <w:spacing w:after="120"/>
        <w:rPr>
          <w:rFonts w:cs="Arial"/>
          <w:szCs w:val="24"/>
        </w:rPr>
      </w:pPr>
    </w:p>
    <w:p w14:paraId="33748617" w14:textId="77777777" w:rsidR="00425521" w:rsidRDefault="00425521" w:rsidP="00F14C7F">
      <w:pPr>
        <w:spacing w:after="120"/>
        <w:rPr>
          <w:b/>
          <w:szCs w:val="24"/>
          <w:lang w:eastAsia="x-none"/>
        </w:rPr>
      </w:pPr>
    </w:p>
    <w:p w14:paraId="1848DEB3" w14:textId="77777777" w:rsidR="00EB4D6B" w:rsidRDefault="00EB4D6B" w:rsidP="00F14C7F">
      <w:pPr>
        <w:spacing w:after="120"/>
        <w:rPr>
          <w:b/>
          <w:szCs w:val="24"/>
          <w:lang w:eastAsia="x-none"/>
        </w:rPr>
      </w:pPr>
    </w:p>
    <w:p w14:paraId="3E94314D" w14:textId="77777777" w:rsidR="00EB4D6B" w:rsidRDefault="00EB4D6B" w:rsidP="00F14C7F">
      <w:pPr>
        <w:spacing w:after="120"/>
        <w:rPr>
          <w:b/>
          <w:szCs w:val="24"/>
          <w:lang w:eastAsia="x-none"/>
        </w:rPr>
      </w:pPr>
    </w:p>
    <w:p w14:paraId="56341A42" w14:textId="77777777" w:rsidR="00EB4D6B" w:rsidRDefault="00EB4D6B" w:rsidP="00F14C7F">
      <w:pPr>
        <w:spacing w:after="120"/>
        <w:rPr>
          <w:b/>
          <w:szCs w:val="24"/>
          <w:lang w:eastAsia="x-none"/>
        </w:rPr>
      </w:pPr>
    </w:p>
    <w:p w14:paraId="27E0342A" w14:textId="77777777" w:rsidR="00EB4D6B" w:rsidRDefault="00EB4D6B" w:rsidP="00F14C7F">
      <w:pPr>
        <w:spacing w:after="120"/>
        <w:rPr>
          <w:b/>
          <w:szCs w:val="24"/>
          <w:lang w:eastAsia="x-none"/>
        </w:rPr>
      </w:pPr>
    </w:p>
    <w:p w14:paraId="5F3DEF18" w14:textId="77777777" w:rsidR="00EB4D6B" w:rsidRDefault="00EB4D6B" w:rsidP="00F14C7F">
      <w:pPr>
        <w:spacing w:after="120"/>
        <w:rPr>
          <w:b/>
          <w:szCs w:val="24"/>
          <w:lang w:eastAsia="x-none"/>
        </w:rPr>
      </w:pPr>
    </w:p>
    <w:p w14:paraId="660A62A1" w14:textId="77777777" w:rsidR="00EB4D6B" w:rsidRDefault="00EB4D6B" w:rsidP="00F14C7F">
      <w:pPr>
        <w:spacing w:after="120"/>
        <w:rPr>
          <w:b/>
          <w:szCs w:val="24"/>
          <w:lang w:eastAsia="x-none"/>
        </w:rPr>
      </w:pPr>
    </w:p>
    <w:p w14:paraId="37769E72" w14:textId="77777777" w:rsidR="00EB4D6B" w:rsidRDefault="00EB4D6B" w:rsidP="00F14C7F">
      <w:pPr>
        <w:spacing w:after="120"/>
        <w:rPr>
          <w:b/>
          <w:szCs w:val="24"/>
          <w:lang w:eastAsia="x-none"/>
        </w:rPr>
      </w:pPr>
    </w:p>
    <w:p w14:paraId="5CA93ABA" w14:textId="77777777" w:rsidR="00EB4D6B" w:rsidRDefault="00EB4D6B" w:rsidP="00F14C7F">
      <w:pPr>
        <w:spacing w:after="120"/>
        <w:rPr>
          <w:b/>
          <w:szCs w:val="24"/>
          <w:lang w:eastAsia="x-none"/>
        </w:rPr>
      </w:pPr>
    </w:p>
    <w:p w14:paraId="633EDE11" w14:textId="77777777" w:rsidR="00EB4D6B" w:rsidRDefault="00EB4D6B" w:rsidP="00F14C7F">
      <w:pPr>
        <w:spacing w:after="120"/>
        <w:rPr>
          <w:b/>
          <w:szCs w:val="24"/>
          <w:lang w:eastAsia="x-none"/>
        </w:rPr>
      </w:pPr>
    </w:p>
    <w:p w14:paraId="7DDA0C9C" w14:textId="77777777" w:rsidR="00EB4D6B" w:rsidRDefault="00EB4D6B" w:rsidP="00F14C7F">
      <w:pPr>
        <w:spacing w:after="120"/>
        <w:rPr>
          <w:b/>
          <w:szCs w:val="24"/>
          <w:lang w:eastAsia="x-none"/>
        </w:rPr>
      </w:pPr>
    </w:p>
    <w:p w14:paraId="3122C617" w14:textId="77777777" w:rsidR="00EB4D6B" w:rsidRDefault="00EB4D6B" w:rsidP="00F14C7F">
      <w:pPr>
        <w:spacing w:after="120"/>
        <w:rPr>
          <w:b/>
          <w:szCs w:val="24"/>
          <w:lang w:eastAsia="x-none"/>
        </w:rPr>
      </w:pPr>
    </w:p>
    <w:p w14:paraId="1E163F4B" w14:textId="77777777" w:rsidR="00EB4D6B" w:rsidRDefault="00EB4D6B" w:rsidP="00F14C7F">
      <w:pPr>
        <w:spacing w:after="120"/>
        <w:rPr>
          <w:b/>
          <w:szCs w:val="24"/>
          <w:lang w:eastAsia="x-none"/>
        </w:rPr>
      </w:pPr>
    </w:p>
    <w:p w14:paraId="5686D90A" w14:textId="77777777" w:rsidR="00EB4D6B" w:rsidRDefault="00EB4D6B" w:rsidP="00F14C7F">
      <w:pPr>
        <w:spacing w:after="120"/>
        <w:rPr>
          <w:b/>
          <w:szCs w:val="24"/>
          <w:lang w:eastAsia="x-none"/>
        </w:rPr>
      </w:pPr>
    </w:p>
    <w:p w14:paraId="0E4148B3" w14:textId="77777777" w:rsidR="00EB4D6B" w:rsidRDefault="00EB4D6B" w:rsidP="00F14C7F">
      <w:pPr>
        <w:spacing w:after="120"/>
        <w:rPr>
          <w:b/>
          <w:szCs w:val="24"/>
          <w:lang w:eastAsia="x-none"/>
        </w:rPr>
        <w:sectPr w:rsidR="00EB4D6B" w:rsidSect="00286B48">
          <w:pgSz w:w="16838" w:h="11906" w:orient="landscape"/>
          <w:pgMar w:top="1440" w:right="1440" w:bottom="1440" w:left="1440" w:header="708" w:footer="708" w:gutter="0"/>
          <w:cols w:space="708"/>
          <w:docGrid w:linePitch="360"/>
        </w:sectPr>
      </w:pPr>
    </w:p>
    <w:p w14:paraId="798EBC5D" w14:textId="77777777" w:rsidR="00A24D0D" w:rsidRPr="00E228A4" w:rsidRDefault="00A24D0D" w:rsidP="00A24D0D">
      <w:pPr>
        <w:spacing w:after="120"/>
        <w:rPr>
          <w:rFonts w:cs="Arial"/>
          <w:b/>
          <w:szCs w:val="24"/>
        </w:rPr>
      </w:pPr>
      <w:r w:rsidRPr="00226ADB">
        <w:rPr>
          <w:b/>
          <w:sz w:val="20"/>
          <w:szCs w:val="20"/>
          <w:lang w:eastAsia="x-none"/>
        </w:rPr>
        <w:lastRenderedPageBreak/>
        <w:t>Version Control</w:t>
      </w:r>
    </w:p>
    <w:p w14:paraId="73DD249B" w14:textId="77777777" w:rsidR="00A24D0D" w:rsidRPr="00226ADB" w:rsidRDefault="00A24D0D" w:rsidP="00A24D0D">
      <w:pPr>
        <w:spacing w:after="120"/>
        <w:rPr>
          <w:b/>
          <w:sz w:val="20"/>
          <w:szCs w:val="20"/>
          <w:lang w:eastAsia="x-none"/>
        </w:rPr>
      </w:pP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2508"/>
        <w:gridCol w:w="1842"/>
        <w:gridCol w:w="4536"/>
      </w:tblGrid>
      <w:tr w:rsidR="00A24D0D" w:rsidRPr="00226ADB" w14:paraId="2DE631D2" w14:textId="77777777" w:rsidTr="0046291B">
        <w:tc>
          <w:tcPr>
            <w:tcW w:w="1848" w:type="dxa"/>
            <w:shd w:val="clear" w:color="auto" w:fill="auto"/>
          </w:tcPr>
          <w:p w14:paraId="05D25303" w14:textId="77777777" w:rsidR="00A24D0D" w:rsidRPr="00226ADB" w:rsidRDefault="00A24D0D" w:rsidP="0046291B">
            <w:pPr>
              <w:spacing w:after="120"/>
              <w:jc w:val="center"/>
              <w:rPr>
                <w:b/>
                <w:sz w:val="20"/>
                <w:szCs w:val="20"/>
                <w:lang w:eastAsia="x-none"/>
              </w:rPr>
            </w:pPr>
            <w:r w:rsidRPr="00226ADB">
              <w:rPr>
                <w:b/>
                <w:sz w:val="20"/>
                <w:szCs w:val="20"/>
                <w:lang w:eastAsia="x-none"/>
              </w:rPr>
              <w:t>Version Number</w:t>
            </w:r>
          </w:p>
        </w:tc>
        <w:tc>
          <w:tcPr>
            <w:tcW w:w="1848" w:type="dxa"/>
            <w:shd w:val="clear" w:color="auto" w:fill="auto"/>
          </w:tcPr>
          <w:p w14:paraId="70C74193" w14:textId="77777777" w:rsidR="00A24D0D" w:rsidRPr="00226ADB" w:rsidRDefault="00A24D0D" w:rsidP="0046291B">
            <w:pPr>
              <w:spacing w:after="120"/>
              <w:jc w:val="center"/>
              <w:rPr>
                <w:b/>
                <w:sz w:val="20"/>
                <w:szCs w:val="20"/>
                <w:lang w:eastAsia="x-none"/>
              </w:rPr>
            </w:pPr>
            <w:r w:rsidRPr="00226ADB">
              <w:rPr>
                <w:b/>
                <w:sz w:val="20"/>
                <w:szCs w:val="20"/>
                <w:lang w:eastAsia="x-none"/>
              </w:rPr>
              <w:t>Date</w:t>
            </w:r>
          </w:p>
        </w:tc>
        <w:tc>
          <w:tcPr>
            <w:tcW w:w="2508" w:type="dxa"/>
            <w:shd w:val="clear" w:color="auto" w:fill="auto"/>
          </w:tcPr>
          <w:p w14:paraId="272B9A0B" w14:textId="77777777" w:rsidR="00A24D0D" w:rsidRPr="00226ADB" w:rsidRDefault="00A24D0D" w:rsidP="0046291B">
            <w:pPr>
              <w:spacing w:after="120"/>
              <w:jc w:val="center"/>
              <w:rPr>
                <w:b/>
                <w:sz w:val="20"/>
                <w:szCs w:val="20"/>
                <w:lang w:eastAsia="x-none"/>
              </w:rPr>
            </w:pPr>
            <w:r w:rsidRPr="00226ADB">
              <w:rPr>
                <w:b/>
                <w:sz w:val="20"/>
                <w:szCs w:val="20"/>
                <w:lang w:eastAsia="x-none"/>
              </w:rPr>
              <w:t>Author / Approving Body</w:t>
            </w:r>
          </w:p>
        </w:tc>
        <w:tc>
          <w:tcPr>
            <w:tcW w:w="1842" w:type="dxa"/>
            <w:shd w:val="clear" w:color="auto" w:fill="auto"/>
          </w:tcPr>
          <w:p w14:paraId="4EC1525D" w14:textId="77777777" w:rsidR="00A24D0D" w:rsidRPr="00226ADB" w:rsidRDefault="00A24D0D" w:rsidP="0046291B">
            <w:pPr>
              <w:spacing w:after="120"/>
              <w:jc w:val="center"/>
              <w:rPr>
                <w:b/>
                <w:sz w:val="20"/>
                <w:szCs w:val="20"/>
                <w:lang w:eastAsia="x-none"/>
              </w:rPr>
            </w:pPr>
            <w:r w:rsidRPr="00226ADB">
              <w:rPr>
                <w:b/>
                <w:sz w:val="20"/>
                <w:szCs w:val="20"/>
                <w:lang w:eastAsia="x-none"/>
              </w:rPr>
              <w:t>Status</w:t>
            </w:r>
          </w:p>
        </w:tc>
        <w:tc>
          <w:tcPr>
            <w:tcW w:w="4536" w:type="dxa"/>
            <w:shd w:val="clear" w:color="auto" w:fill="auto"/>
          </w:tcPr>
          <w:p w14:paraId="6981A6BB" w14:textId="77777777" w:rsidR="00A24D0D" w:rsidRPr="00226ADB" w:rsidRDefault="00A24D0D" w:rsidP="0046291B">
            <w:pPr>
              <w:spacing w:after="120"/>
              <w:jc w:val="center"/>
              <w:rPr>
                <w:b/>
                <w:sz w:val="20"/>
                <w:szCs w:val="20"/>
                <w:lang w:eastAsia="x-none"/>
              </w:rPr>
            </w:pPr>
            <w:r w:rsidRPr="00226ADB">
              <w:rPr>
                <w:b/>
                <w:sz w:val="20"/>
                <w:szCs w:val="20"/>
                <w:lang w:eastAsia="x-none"/>
              </w:rPr>
              <w:t>Comment / Reason / Approving Body</w:t>
            </w:r>
          </w:p>
        </w:tc>
      </w:tr>
      <w:tr w:rsidR="00A24D0D" w:rsidRPr="00226ADB" w14:paraId="36093920" w14:textId="77777777" w:rsidTr="0046291B">
        <w:tc>
          <w:tcPr>
            <w:tcW w:w="1848" w:type="dxa"/>
            <w:shd w:val="clear" w:color="auto" w:fill="auto"/>
          </w:tcPr>
          <w:p w14:paraId="73120F9D" w14:textId="77777777" w:rsidR="00A24D0D" w:rsidRPr="00226ADB" w:rsidRDefault="00A24D0D" w:rsidP="0046291B">
            <w:pPr>
              <w:spacing w:after="120"/>
              <w:jc w:val="center"/>
              <w:rPr>
                <w:sz w:val="20"/>
                <w:szCs w:val="20"/>
                <w:lang w:eastAsia="x-none"/>
              </w:rPr>
            </w:pPr>
            <w:bookmarkStart w:id="8" w:name="_Hlk9511376"/>
            <w:r w:rsidRPr="00226ADB">
              <w:rPr>
                <w:sz w:val="20"/>
                <w:szCs w:val="20"/>
                <w:lang w:eastAsia="x-none"/>
              </w:rPr>
              <w:t>2</w:t>
            </w:r>
          </w:p>
        </w:tc>
        <w:tc>
          <w:tcPr>
            <w:tcW w:w="1848" w:type="dxa"/>
            <w:shd w:val="clear" w:color="auto" w:fill="auto"/>
          </w:tcPr>
          <w:p w14:paraId="16EE016F" w14:textId="77777777" w:rsidR="00A24D0D" w:rsidRPr="00226ADB" w:rsidRDefault="00A24D0D" w:rsidP="0046291B">
            <w:pPr>
              <w:spacing w:after="120"/>
              <w:jc w:val="center"/>
              <w:rPr>
                <w:sz w:val="20"/>
                <w:szCs w:val="20"/>
                <w:lang w:eastAsia="x-none"/>
              </w:rPr>
            </w:pPr>
            <w:r w:rsidRPr="00226ADB">
              <w:rPr>
                <w:sz w:val="20"/>
                <w:szCs w:val="20"/>
                <w:lang w:eastAsia="x-none"/>
              </w:rPr>
              <w:t>May 2019</w:t>
            </w:r>
          </w:p>
        </w:tc>
        <w:tc>
          <w:tcPr>
            <w:tcW w:w="2508" w:type="dxa"/>
            <w:shd w:val="clear" w:color="auto" w:fill="auto"/>
          </w:tcPr>
          <w:p w14:paraId="43B9BB7E" w14:textId="77777777" w:rsidR="00A24D0D" w:rsidRPr="00226ADB" w:rsidRDefault="00A24D0D" w:rsidP="0046291B">
            <w:pPr>
              <w:spacing w:after="120"/>
              <w:jc w:val="center"/>
              <w:rPr>
                <w:sz w:val="20"/>
                <w:szCs w:val="20"/>
                <w:lang w:eastAsia="x-none"/>
              </w:rPr>
            </w:pPr>
            <w:r w:rsidRPr="00226ADB">
              <w:rPr>
                <w:sz w:val="20"/>
                <w:szCs w:val="20"/>
                <w:lang w:eastAsia="x-none"/>
              </w:rPr>
              <w:t>Gender Identity Programme Board</w:t>
            </w:r>
          </w:p>
        </w:tc>
        <w:tc>
          <w:tcPr>
            <w:tcW w:w="1842" w:type="dxa"/>
            <w:shd w:val="clear" w:color="auto" w:fill="auto"/>
          </w:tcPr>
          <w:p w14:paraId="475AA524" w14:textId="77777777" w:rsidR="00A24D0D" w:rsidRPr="00226ADB" w:rsidRDefault="00A24D0D" w:rsidP="0046291B">
            <w:pPr>
              <w:spacing w:after="120"/>
              <w:jc w:val="center"/>
              <w:rPr>
                <w:sz w:val="20"/>
                <w:szCs w:val="20"/>
                <w:lang w:eastAsia="x-none"/>
              </w:rPr>
            </w:pPr>
            <w:r w:rsidRPr="00226ADB">
              <w:rPr>
                <w:sz w:val="20"/>
                <w:szCs w:val="20"/>
                <w:lang w:eastAsia="x-none"/>
              </w:rPr>
              <w:t>Approved</w:t>
            </w:r>
          </w:p>
        </w:tc>
        <w:tc>
          <w:tcPr>
            <w:tcW w:w="4536" w:type="dxa"/>
            <w:shd w:val="clear" w:color="auto" w:fill="auto"/>
          </w:tcPr>
          <w:p w14:paraId="7B7E4425" w14:textId="77777777" w:rsidR="00A24D0D" w:rsidRPr="00226ADB" w:rsidRDefault="00A24D0D" w:rsidP="0046291B">
            <w:pPr>
              <w:spacing w:after="120"/>
              <w:rPr>
                <w:sz w:val="20"/>
                <w:szCs w:val="20"/>
                <w:lang w:eastAsia="x-none"/>
              </w:rPr>
            </w:pPr>
            <w:r w:rsidRPr="00226ADB">
              <w:rPr>
                <w:sz w:val="20"/>
                <w:szCs w:val="20"/>
                <w:lang w:eastAsia="x-none"/>
              </w:rPr>
              <w:t>Addition to 2.19 to clarify referral criteria for individuals with a Gender Recognition Certificate</w:t>
            </w:r>
          </w:p>
        </w:tc>
      </w:tr>
      <w:bookmarkEnd w:id="8"/>
      <w:tr w:rsidR="00D32118" w:rsidRPr="00226ADB" w14:paraId="2F1C01FF" w14:textId="77777777" w:rsidTr="0046291B">
        <w:tc>
          <w:tcPr>
            <w:tcW w:w="1848" w:type="dxa"/>
            <w:shd w:val="clear" w:color="auto" w:fill="auto"/>
          </w:tcPr>
          <w:p w14:paraId="1AE159DE" w14:textId="77777777" w:rsidR="00D32118" w:rsidRPr="00226ADB" w:rsidRDefault="00D32118" w:rsidP="0046291B">
            <w:pPr>
              <w:spacing w:after="120"/>
              <w:jc w:val="center"/>
              <w:rPr>
                <w:sz w:val="20"/>
                <w:szCs w:val="20"/>
                <w:lang w:eastAsia="x-none"/>
              </w:rPr>
            </w:pPr>
            <w:r w:rsidRPr="00226ADB">
              <w:rPr>
                <w:sz w:val="20"/>
                <w:szCs w:val="20"/>
                <w:lang w:eastAsia="x-none"/>
              </w:rPr>
              <w:t>2</w:t>
            </w:r>
          </w:p>
        </w:tc>
        <w:tc>
          <w:tcPr>
            <w:tcW w:w="1848" w:type="dxa"/>
            <w:shd w:val="clear" w:color="auto" w:fill="auto"/>
          </w:tcPr>
          <w:p w14:paraId="524159F0" w14:textId="77777777" w:rsidR="00D32118" w:rsidRPr="00226ADB" w:rsidRDefault="00D32118" w:rsidP="0046291B">
            <w:pPr>
              <w:spacing w:after="120"/>
              <w:jc w:val="center"/>
              <w:rPr>
                <w:sz w:val="20"/>
                <w:szCs w:val="20"/>
                <w:lang w:eastAsia="x-none"/>
              </w:rPr>
            </w:pPr>
            <w:r w:rsidRPr="00226ADB">
              <w:rPr>
                <w:sz w:val="20"/>
                <w:szCs w:val="20"/>
                <w:lang w:eastAsia="x-none"/>
              </w:rPr>
              <w:t>May 2019</w:t>
            </w:r>
          </w:p>
        </w:tc>
        <w:tc>
          <w:tcPr>
            <w:tcW w:w="2508" w:type="dxa"/>
            <w:shd w:val="clear" w:color="auto" w:fill="auto"/>
          </w:tcPr>
          <w:p w14:paraId="3024202F" w14:textId="77777777" w:rsidR="00D32118" w:rsidRPr="00226ADB" w:rsidRDefault="00D32118" w:rsidP="0046291B">
            <w:pPr>
              <w:spacing w:after="120"/>
              <w:jc w:val="center"/>
              <w:rPr>
                <w:sz w:val="20"/>
                <w:szCs w:val="20"/>
                <w:lang w:eastAsia="x-none"/>
              </w:rPr>
            </w:pPr>
            <w:r w:rsidRPr="00226ADB">
              <w:rPr>
                <w:sz w:val="20"/>
                <w:szCs w:val="20"/>
                <w:lang w:eastAsia="x-none"/>
              </w:rPr>
              <w:t>Gender Identity Programme Board</w:t>
            </w:r>
          </w:p>
        </w:tc>
        <w:tc>
          <w:tcPr>
            <w:tcW w:w="1842" w:type="dxa"/>
            <w:shd w:val="clear" w:color="auto" w:fill="auto"/>
          </w:tcPr>
          <w:p w14:paraId="74F3764D" w14:textId="77777777" w:rsidR="00D32118" w:rsidRPr="00226ADB" w:rsidRDefault="00D32118" w:rsidP="0046291B">
            <w:pPr>
              <w:spacing w:after="120"/>
              <w:jc w:val="center"/>
              <w:rPr>
                <w:sz w:val="20"/>
                <w:szCs w:val="20"/>
                <w:lang w:eastAsia="x-none"/>
              </w:rPr>
            </w:pPr>
            <w:r w:rsidRPr="00226ADB">
              <w:rPr>
                <w:sz w:val="20"/>
                <w:szCs w:val="20"/>
                <w:lang w:eastAsia="x-none"/>
              </w:rPr>
              <w:t>Approved</w:t>
            </w:r>
          </w:p>
        </w:tc>
        <w:tc>
          <w:tcPr>
            <w:tcW w:w="4536" w:type="dxa"/>
            <w:shd w:val="clear" w:color="auto" w:fill="auto"/>
          </w:tcPr>
          <w:p w14:paraId="3B0E4FE6" w14:textId="77777777" w:rsidR="00D32118" w:rsidRPr="00226ADB" w:rsidRDefault="00D32118" w:rsidP="0046291B">
            <w:pPr>
              <w:spacing w:after="120"/>
              <w:rPr>
                <w:sz w:val="20"/>
                <w:szCs w:val="20"/>
                <w:lang w:eastAsia="x-none"/>
              </w:rPr>
            </w:pPr>
            <w:r w:rsidRPr="00226ADB">
              <w:rPr>
                <w:sz w:val="20"/>
                <w:szCs w:val="20"/>
                <w:lang w:eastAsia="x-none"/>
              </w:rPr>
              <w:t>Addition to 2.21 “Gender Identity Healthcare Credential (Royal College of Physicians)”</w:t>
            </w:r>
          </w:p>
        </w:tc>
      </w:tr>
      <w:tr w:rsidR="00286B48" w:rsidRPr="00226ADB" w14:paraId="6B02812A" w14:textId="77777777" w:rsidTr="0046291B">
        <w:tc>
          <w:tcPr>
            <w:tcW w:w="1848" w:type="dxa"/>
            <w:shd w:val="clear" w:color="auto" w:fill="auto"/>
          </w:tcPr>
          <w:p w14:paraId="60856C80" w14:textId="77777777" w:rsidR="00286B48" w:rsidRPr="00226ADB" w:rsidRDefault="00286B48" w:rsidP="00286B48">
            <w:pPr>
              <w:spacing w:after="120"/>
              <w:jc w:val="center"/>
              <w:rPr>
                <w:sz w:val="20"/>
                <w:szCs w:val="20"/>
                <w:lang w:eastAsia="x-none"/>
              </w:rPr>
            </w:pPr>
            <w:r w:rsidRPr="00226ADB">
              <w:rPr>
                <w:sz w:val="20"/>
                <w:szCs w:val="20"/>
                <w:lang w:eastAsia="x-none"/>
              </w:rPr>
              <w:t>3</w:t>
            </w:r>
          </w:p>
        </w:tc>
        <w:tc>
          <w:tcPr>
            <w:tcW w:w="1848" w:type="dxa"/>
            <w:shd w:val="clear" w:color="auto" w:fill="auto"/>
          </w:tcPr>
          <w:p w14:paraId="79A054AC" w14:textId="77777777" w:rsidR="00286B48" w:rsidRPr="00226ADB" w:rsidRDefault="00286B48" w:rsidP="00286B48">
            <w:pPr>
              <w:spacing w:after="120"/>
              <w:jc w:val="center"/>
              <w:rPr>
                <w:sz w:val="20"/>
                <w:szCs w:val="20"/>
                <w:lang w:eastAsia="x-none"/>
              </w:rPr>
            </w:pPr>
            <w:r w:rsidRPr="00226ADB">
              <w:rPr>
                <w:sz w:val="20"/>
                <w:szCs w:val="20"/>
                <w:lang w:eastAsia="x-none"/>
              </w:rPr>
              <w:t>June 2019</w:t>
            </w:r>
          </w:p>
        </w:tc>
        <w:tc>
          <w:tcPr>
            <w:tcW w:w="2508" w:type="dxa"/>
            <w:shd w:val="clear" w:color="auto" w:fill="auto"/>
          </w:tcPr>
          <w:p w14:paraId="16DD3316" w14:textId="77777777" w:rsidR="00286B48" w:rsidRPr="00226ADB" w:rsidRDefault="00286B48" w:rsidP="00286B48">
            <w:pPr>
              <w:spacing w:after="120"/>
              <w:jc w:val="center"/>
              <w:rPr>
                <w:sz w:val="20"/>
                <w:szCs w:val="20"/>
                <w:lang w:eastAsia="x-none"/>
              </w:rPr>
            </w:pPr>
            <w:r w:rsidRPr="00226ADB">
              <w:rPr>
                <w:sz w:val="20"/>
                <w:szCs w:val="20"/>
                <w:lang w:eastAsia="x-none"/>
              </w:rPr>
              <w:t>Gender Identity Programme Board</w:t>
            </w:r>
          </w:p>
        </w:tc>
        <w:tc>
          <w:tcPr>
            <w:tcW w:w="1842" w:type="dxa"/>
            <w:shd w:val="clear" w:color="auto" w:fill="auto"/>
          </w:tcPr>
          <w:p w14:paraId="3EFD9C59" w14:textId="77777777" w:rsidR="00286B48" w:rsidRPr="00226ADB" w:rsidRDefault="00286B48" w:rsidP="00286B48">
            <w:pPr>
              <w:spacing w:after="120"/>
              <w:jc w:val="center"/>
              <w:rPr>
                <w:sz w:val="20"/>
                <w:szCs w:val="20"/>
                <w:lang w:eastAsia="x-none"/>
              </w:rPr>
            </w:pPr>
            <w:r w:rsidRPr="00226ADB">
              <w:rPr>
                <w:sz w:val="20"/>
                <w:szCs w:val="20"/>
                <w:lang w:eastAsia="x-none"/>
              </w:rPr>
              <w:t>Approved</w:t>
            </w:r>
          </w:p>
        </w:tc>
        <w:tc>
          <w:tcPr>
            <w:tcW w:w="4536" w:type="dxa"/>
            <w:shd w:val="clear" w:color="auto" w:fill="auto"/>
          </w:tcPr>
          <w:p w14:paraId="2263D581" w14:textId="77777777" w:rsidR="00286B48" w:rsidRPr="00226ADB" w:rsidRDefault="00286B48" w:rsidP="00286B48">
            <w:pPr>
              <w:pStyle w:val="NormalWeb"/>
              <w:shd w:val="clear" w:color="auto" w:fill="FFFFFF"/>
              <w:rPr>
                <w:sz w:val="20"/>
                <w:szCs w:val="20"/>
                <w:lang w:eastAsia="en-GB"/>
              </w:rPr>
            </w:pPr>
            <w:r w:rsidRPr="00226ADB">
              <w:rPr>
                <w:rFonts w:ascii="ArialMT" w:hAnsi="ArialMT"/>
                <w:sz w:val="20"/>
                <w:szCs w:val="20"/>
              </w:rPr>
              <w:t xml:space="preserve">Addition of (new) Appendix K that describes future arrangements for prescribing hormone treatments. Previous Appendix K re-named Appendix L. </w:t>
            </w:r>
          </w:p>
        </w:tc>
      </w:tr>
      <w:tr w:rsidR="00226ADB" w:rsidRPr="00226ADB" w14:paraId="069FB2DD" w14:textId="77777777" w:rsidTr="0046291B">
        <w:tc>
          <w:tcPr>
            <w:tcW w:w="1848" w:type="dxa"/>
            <w:shd w:val="clear" w:color="auto" w:fill="auto"/>
          </w:tcPr>
          <w:p w14:paraId="5A221727" w14:textId="77777777" w:rsidR="00226ADB" w:rsidRPr="00226ADB" w:rsidRDefault="00226ADB" w:rsidP="00286B48">
            <w:pPr>
              <w:spacing w:after="120"/>
              <w:jc w:val="center"/>
              <w:rPr>
                <w:sz w:val="20"/>
                <w:szCs w:val="20"/>
                <w:lang w:eastAsia="x-none"/>
              </w:rPr>
            </w:pPr>
            <w:r>
              <w:rPr>
                <w:sz w:val="20"/>
                <w:szCs w:val="20"/>
                <w:lang w:eastAsia="x-none"/>
              </w:rPr>
              <w:t>4</w:t>
            </w:r>
          </w:p>
        </w:tc>
        <w:tc>
          <w:tcPr>
            <w:tcW w:w="1848" w:type="dxa"/>
            <w:shd w:val="clear" w:color="auto" w:fill="auto"/>
          </w:tcPr>
          <w:p w14:paraId="68DF0669" w14:textId="77777777" w:rsidR="00226ADB" w:rsidRPr="00226ADB" w:rsidRDefault="00226ADB" w:rsidP="00286B48">
            <w:pPr>
              <w:spacing w:after="120"/>
              <w:jc w:val="center"/>
              <w:rPr>
                <w:sz w:val="20"/>
                <w:szCs w:val="20"/>
                <w:lang w:eastAsia="x-none"/>
              </w:rPr>
            </w:pPr>
            <w:r>
              <w:rPr>
                <w:sz w:val="20"/>
                <w:szCs w:val="20"/>
                <w:lang w:eastAsia="x-none"/>
              </w:rPr>
              <w:t>October 2022</w:t>
            </w:r>
          </w:p>
        </w:tc>
        <w:tc>
          <w:tcPr>
            <w:tcW w:w="2508" w:type="dxa"/>
            <w:shd w:val="clear" w:color="auto" w:fill="auto"/>
          </w:tcPr>
          <w:p w14:paraId="4F05E2C7" w14:textId="77777777" w:rsidR="00226ADB" w:rsidRPr="00226ADB" w:rsidRDefault="00226ADB" w:rsidP="00286B48">
            <w:pPr>
              <w:spacing w:after="120"/>
              <w:jc w:val="center"/>
              <w:rPr>
                <w:sz w:val="20"/>
                <w:szCs w:val="20"/>
                <w:lang w:eastAsia="x-none"/>
              </w:rPr>
            </w:pPr>
            <w:r w:rsidRPr="00226ADB">
              <w:rPr>
                <w:sz w:val="20"/>
                <w:szCs w:val="20"/>
                <w:lang w:eastAsia="x-none"/>
              </w:rPr>
              <w:t>National Commissioning Group for Specialised, Health and Justice and Armed Forces Services</w:t>
            </w:r>
          </w:p>
        </w:tc>
        <w:tc>
          <w:tcPr>
            <w:tcW w:w="1842" w:type="dxa"/>
            <w:shd w:val="clear" w:color="auto" w:fill="auto"/>
          </w:tcPr>
          <w:p w14:paraId="2FD9D711" w14:textId="77777777" w:rsidR="00226ADB" w:rsidRPr="00226ADB" w:rsidRDefault="00226ADB" w:rsidP="00286B48">
            <w:pPr>
              <w:spacing w:after="120"/>
              <w:jc w:val="center"/>
              <w:rPr>
                <w:sz w:val="20"/>
                <w:szCs w:val="20"/>
                <w:lang w:eastAsia="x-none"/>
              </w:rPr>
            </w:pPr>
            <w:r>
              <w:rPr>
                <w:sz w:val="20"/>
                <w:szCs w:val="20"/>
                <w:lang w:eastAsia="x-none"/>
              </w:rPr>
              <w:t>Approved</w:t>
            </w:r>
          </w:p>
        </w:tc>
        <w:tc>
          <w:tcPr>
            <w:tcW w:w="4536" w:type="dxa"/>
            <w:shd w:val="clear" w:color="auto" w:fill="auto"/>
          </w:tcPr>
          <w:p w14:paraId="531C7ACB" w14:textId="77777777" w:rsidR="00226ADB" w:rsidRPr="00226ADB" w:rsidRDefault="00226ADB" w:rsidP="00286B48">
            <w:pPr>
              <w:spacing w:after="120"/>
              <w:rPr>
                <w:sz w:val="20"/>
                <w:szCs w:val="20"/>
                <w:lang w:eastAsia="x-none"/>
              </w:rPr>
            </w:pPr>
            <w:r w:rsidRPr="00226ADB">
              <w:rPr>
                <w:sz w:val="20"/>
                <w:szCs w:val="20"/>
                <w:lang w:eastAsia="x-none"/>
              </w:rPr>
              <w:t>Amendment to Appendix J to describe that medical practitioner may</w:t>
            </w:r>
            <w:r>
              <w:rPr>
                <w:sz w:val="20"/>
                <w:szCs w:val="20"/>
                <w:lang w:eastAsia="x-none"/>
              </w:rPr>
              <w:t xml:space="preserve"> </w:t>
            </w:r>
            <w:r w:rsidRPr="00226ADB">
              <w:rPr>
                <w:rFonts w:cs="Arial"/>
                <w:sz w:val="20"/>
                <w:szCs w:val="20"/>
              </w:rPr>
              <w:t>decide to assume responsibility for prescribing for a time-limited period that is appropriate to the individual</w:t>
            </w:r>
            <w:r>
              <w:rPr>
                <w:rFonts w:cs="Arial"/>
                <w:sz w:val="20"/>
                <w:szCs w:val="20"/>
              </w:rPr>
              <w:t>.</w:t>
            </w:r>
          </w:p>
        </w:tc>
      </w:tr>
      <w:tr w:rsidR="00286B48" w:rsidRPr="00226ADB" w14:paraId="6871FABB" w14:textId="77777777" w:rsidTr="00E228A4">
        <w:trPr>
          <w:trHeight w:val="2524"/>
        </w:trPr>
        <w:tc>
          <w:tcPr>
            <w:tcW w:w="1848" w:type="dxa"/>
            <w:shd w:val="clear" w:color="auto" w:fill="auto"/>
          </w:tcPr>
          <w:p w14:paraId="379D7817" w14:textId="77777777" w:rsidR="00286B48" w:rsidRPr="00226ADB" w:rsidRDefault="00226ADB" w:rsidP="00286B48">
            <w:pPr>
              <w:spacing w:after="120"/>
              <w:jc w:val="center"/>
              <w:rPr>
                <w:sz w:val="20"/>
                <w:szCs w:val="20"/>
                <w:lang w:eastAsia="x-none"/>
              </w:rPr>
            </w:pPr>
            <w:r w:rsidRPr="00226ADB">
              <w:rPr>
                <w:sz w:val="20"/>
                <w:szCs w:val="20"/>
                <w:lang w:eastAsia="x-none"/>
              </w:rPr>
              <w:t>4</w:t>
            </w:r>
          </w:p>
        </w:tc>
        <w:tc>
          <w:tcPr>
            <w:tcW w:w="1848" w:type="dxa"/>
            <w:shd w:val="clear" w:color="auto" w:fill="auto"/>
          </w:tcPr>
          <w:p w14:paraId="2F14DFDA" w14:textId="77777777" w:rsidR="00286B48" w:rsidRPr="00226ADB" w:rsidRDefault="00226ADB" w:rsidP="00286B48">
            <w:pPr>
              <w:spacing w:after="120"/>
              <w:jc w:val="center"/>
              <w:rPr>
                <w:sz w:val="20"/>
                <w:szCs w:val="20"/>
                <w:lang w:eastAsia="x-none"/>
              </w:rPr>
            </w:pPr>
            <w:r>
              <w:rPr>
                <w:sz w:val="20"/>
                <w:szCs w:val="20"/>
                <w:lang w:eastAsia="x-none"/>
              </w:rPr>
              <w:t xml:space="preserve">October </w:t>
            </w:r>
            <w:r w:rsidRPr="00226ADB">
              <w:rPr>
                <w:sz w:val="20"/>
                <w:szCs w:val="20"/>
                <w:lang w:eastAsia="x-none"/>
              </w:rPr>
              <w:t>2022</w:t>
            </w:r>
          </w:p>
        </w:tc>
        <w:tc>
          <w:tcPr>
            <w:tcW w:w="2508" w:type="dxa"/>
            <w:shd w:val="clear" w:color="auto" w:fill="auto"/>
          </w:tcPr>
          <w:p w14:paraId="4EDC6B56" w14:textId="77777777" w:rsidR="00286B48" w:rsidRPr="00226ADB" w:rsidRDefault="00226ADB" w:rsidP="00286B48">
            <w:pPr>
              <w:spacing w:after="120"/>
              <w:jc w:val="center"/>
              <w:rPr>
                <w:sz w:val="20"/>
                <w:szCs w:val="20"/>
                <w:lang w:eastAsia="x-none"/>
              </w:rPr>
            </w:pPr>
            <w:r w:rsidRPr="00226ADB">
              <w:rPr>
                <w:sz w:val="20"/>
                <w:szCs w:val="20"/>
                <w:lang w:eastAsia="x-none"/>
              </w:rPr>
              <w:t>Medical Projects Team</w:t>
            </w:r>
          </w:p>
          <w:p w14:paraId="790EA478" w14:textId="77777777" w:rsidR="00226ADB" w:rsidRPr="00226ADB" w:rsidRDefault="00226ADB" w:rsidP="00286B48">
            <w:pPr>
              <w:spacing w:after="120"/>
              <w:jc w:val="center"/>
              <w:rPr>
                <w:sz w:val="20"/>
                <w:szCs w:val="20"/>
                <w:lang w:eastAsia="x-none"/>
              </w:rPr>
            </w:pPr>
          </w:p>
          <w:p w14:paraId="41C894D1" w14:textId="77777777" w:rsidR="00226ADB" w:rsidRPr="00226ADB" w:rsidRDefault="00226ADB" w:rsidP="00286B48">
            <w:pPr>
              <w:spacing w:after="120"/>
              <w:jc w:val="center"/>
              <w:rPr>
                <w:sz w:val="20"/>
                <w:szCs w:val="20"/>
                <w:lang w:eastAsia="x-none"/>
              </w:rPr>
            </w:pPr>
          </w:p>
          <w:p w14:paraId="4701EE44" w14:textId="77777777" w:rsidR="00226ADB" w:rsidRPr="00226ADB" w:rsidRDefault="00226ADB" w:rsidP="00286B48">
            <w:pPr>
              <w:spacing w:after="120"/>
              <w:jc w:val="center"/>
              <w:rPr>
                <w:sz w:val="20"/>
                <w:szCs w:val="20"/>
                <w:lang w:eastAsia="x-none"/>
              </w:rPr>
            </w:pPr>
          </w:p>
          <w:p w14:paraId="301E8676" w14:textId="77777777" w:rsidR="00226ADB" w:rsidRPr="00226ADB" w:rsidRDefault="00226ADB" w:rsidP="00286B48">
            <w:pPr>
              <w:spacing w:after="120"/>
              <w:jc w:val="center"/>
              <w:rPr>
                <w:sz w:val="20"/>
                <w:szCs w:val="20"/>
                <w:lang w:eastAsia="x-none"/>
              </w:rPr>
            </w:pPr>
          </w:p>
          <w:p w14:paraId="1E193BF4" w14:textId="77777777" w:rsidR="00226ADB" w:rsidRDefault="00226ADB" w:rsidP="00226ADB">
            <w:pPr>
              <w:spacing w:after="120"/>
              <w:rPr>
                <w:sz w:val="20"/>
                <w:szCs w:val="20"/>
                <w:lang w:eastAsia="x-none"/>
              </w:rPr>
            </w:pPr>
          </w:p>
          <w:p w14:paraId="491DC65F" w14:textId="77777777" w:rsidR="00226ADB" w:rsidRPr="00226ADB" w:rsidRDefault="00226ADB" w:rsidP="00226ADB">
            <w:pPr>
              <w:spacing w:after="120"/>
              <w:rPr>
                <w:sz w:val="20"/>
                <w:szCs w:val="20"/>
                <w:lang w:eastAsia="x-none"/>
              </w:rPr>
            </w:pPr>
          </w:p>
        </w:tc>
        <w:tc>
          <w:tcPr>
            <w:tcW w:w="1842" w:type="dxa"/>
            <w:shd w:val="clear" w:color="auto" w:fill="auto"/>
          </w:tcPr>
          <w:p w14:paraId="16501656" w14:textId="77777777" w:rsidR="00286B48" w:rsidRPr="00226ADB" w:rsidRDefault="00226ADB" w:rsidP="00286B48">
            <w:pPr>
              <w:spacing w:after="120"/>
              <w:jc w:val="center"/>
              <w:rPr>
                <w:sz w:val="20"/>
                <w:szCs w:val="20"/>
                <w:lang w:eastAsia="x-none"/>
              </w:rPr>
            </w:pPr>
            <w:r w:rsidRPr="00226ADB">
              <w:rPr>
                <w:sz w:val="20"/>
                <w:szCs w:val="20"/>
                <w:lang w:eastAsia="x-none"/>
              </w:rPr>
              <w:t>Approved</w:t>
            </w:r>
          </w:p>
        </w:tc>
        <w:tc>
          <w:tcPr>
            <w:tcW w:w="4536" w:type="dxa"/>
            <w:shd w:val="clear" w:color="auto" w:fill="auto"/>
          </w:tcPr>
          <w:p w14:paraId="1975A355" w14:textId="77777777" w:rsidR="00226ADB" w:rsidRPr="00226ADB" w:rsidRDefault="00226ADB" w:rsidP="00286B48">
            <w:pPr>
              <w:spacing w:after="120"/>
              <w:rPr>
                <w:sz w:val="20"/>
                <w:szCs w:val="20"/>
                <w:lang w:eastAsia="x-none"/>
              </w:rPr>
            </w:pPr>
            <w:r w:rsidRPr="00226ADB">
              <w:rPr>
                <w:sz w:val="20"/>
                <w:szCs w:val="20"/>
                <w:lang w:eastAsia="x-none"/>
              </w:rPr>
              <w:t>References to “Clinical Commissioning Groups” changed to “Integrated Care Systems” to reflect NHS commissioning structures.</w:t>
            </w:r>
          </w:p>
          <w:p w14:paraId="5107AF4C" w14:textId="77777777" w:rsidR="00226ADB" w:rsidRPr="00226ADB" w:rsidRDefault="00226ADB" w:rsidP="00286B48">
            <w:pPr>
              <w:spacing w:after="120"/>
              <w:rPr>
                <w:sz w:val="20"/>
                <w:szCs w:val="20"/>
                <w:lang w:eastAsia="x-none"/>
              </w:rPr>
            </w:pPr>
            <w:r w:rsidRPr="00226ADB">
              <w:rPr>
                <w:sz w:val="20"/>
                <w:szCs w:val="20"/>
                <w:lang w:eastAsia="x-none"/>
              </w:rPr>
              <w:t>References to “National Trans Health Units” removed.</w:t>
            </w:r>
          </w:p>
          <w:p w14:paraId="2EDCD206" w14:textId="77777777" w:rsidR="00226ADB" w:rsidRPr="00226ADB" w:rsidRDefault="00226ADB" w:rsidP="00226ADB">
            <w:pPr>
              <w:spacing w:after="120"/>
              <w:rPr>
                <w:sz w:val="20"/>
                <w:szCs w:val="20"/>
                <w:lang w:eastAsia="x-none"/>
              </w:rPr>
            </w:pPr>
            <w:r w:rsidRPr="00226ADB">
              <w:rPr>
                <w:sz w:val="20"/>
                <w:szCs w:val="20"/>
                <w:lang w:eastAsia="x-none"/>
              </w:rPr>
              <w:t xml:space="preserve">Amendment to 2.1.2 to refer to “sexual health services” and to remove description of role of Gender Dysphoria Clinics </w:t>
            </w:r>
            <w:proofErr w:type="gramStart"/>
            <w:r w:rsidRPr="00226ADB">
              <w:rPr>
                <w:sz w:val="20"/>
                <w:szCs w:val="20"/>
                <w:lang w:eastAsia="x-none"/>
              </w:rPr>
              <w:t>in regard to</w:t>
            </w:r>
            <w:proofErr w:type="gramEnd"/>
            <w:r w:rsidRPr="00226ADB">
              <w:rPr>
                <w:sz w:val="20"/>
                <w:szCs w:val="20"/>
                <w:lang w:eastAsia="x-none"/>
              </w:rPr>
              <w:t xml:space="preserve"> new</w:t>
            </w:r>
            <w:r>
              <w:rPr>
                <w:sz w:val="20"/>
                <w:szCs w:val="20"/>
                <w:lang w:eastAsia="x-none"/>
              </w:rPr>
              <w:t>ly established</w:t>
            </w:r>
            <w:r w:rsidRPr="00226ADB">
              <w:rPr>
                <w:sz w:val="20"/>
                <w:szCs w:val="20"/>
                <w:lang w:eastAsia="x-none"/>
              </w:rPr>
              <w:t xml:space="preserve"> services</w:t>
            </w:r>
            <w:r>
              <w:rPr>
                <w:sz w:val="20"/>
                <w:szCs w:val="20"/>
                <w:lang w:eastAsia="x-none"/>
              </w:rPr>
              <w:t xml:space="preserve"> in primary care and sexual health settings</w:t>
            </w:r>
            <w:r w:rsidRPr="00226ADB">
              <w:rPr>
                <w:sz w:val="20"/>
                <w:szCs w:val="20"/>
                <w:lang w:eastAsia="x-none"/>
              </w:rPr>
              <w:t>.</w:t>
            </w:r>
          </w:p>
        </w:tc>
      </w:tr>
    </w:tbl>
    <w:p w14:paraId="77ACCDDE" w14:textId="77777777" w:rsidR="00A24D0D" w:rsidRPr="00226ADB" w:rsidRDefault="00A24D0D" w:rsidP="00A24D0D">
      <w:pPr>
        <w:spacing w:after="120"/>
        <w:rPr>
          <w:b/>
          <w:sz w:val="20"/>
          <w:szCs w:val="20"/>
          <w:lang w:eastAsia="x-none"/>
        </w:rPr>
      </w:pPr>
    </w:p>
    <w:p w14:paraId="3B62BA1B" w14:textId="77777777" w:rsidR="00EB4D6B" w:rsidRDefault="00EB4D6B" w:rsidP="00F14C7F">
      <w:pPr>
        <w:spacing w:after="120"/>
        <w:rPr>
          <w:b/>
          <w:szCs w:val="24"/>
          <w:lang w:eastAsia="x-none"/>
        </w:rPr>
      </w:pPr>
    </w:p>
    <w:sectPr w:rsidR="00EB4D6B" w:rsidSect="00286B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D497" w14:textId="77777777" w:rsidR="00C65285" w:rsidRDefault="00C65285" w:rsidP="009B651E">
      <w:r>
        <w:separator/>
      </w:r>
    </w:p>
  </w:endnote>
  <w:endnote w:type="continuationSeparator" w:id="0">
    <w:p w14:paraId="6B1EF27D" w14:textId="77777777" w:rsidR="00C65285" w:rsidRDefault="00C65285" w:rsidP="009B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9F6C" w14:textId="77777777" w:rsidR="00EB4D6B" w:rsidRDefault="00EB4D6B">
    <w:pPr>
      <w:pStyle w:val="Footer"/>
      <w:jc w:val="right"/>
    </w:pPr>
    <w:r>
      <w:fldChar w:fldCharType="begin"/>
    </w:r>
    <w:r>
      <w:instrText xml:space="preserve"> PAGE   \* MERGEFORMAT </w:instrText>
    </w:r>
    <w:r>
      <w:fldChar w:fldCharType="separate"/>
    </w:r>
    <w:r w:rsidR="00F34F24">
      <w:rPr>
        <w:noProof/>
      </w:rPr>
      <w:t>30</w:t>
    </w:r>
    <w:r>
      <w:rPr>
        <w:noProof/>
      </w:rPr>
      <w:fldChar w:fldCharType="end"/>
    </w:r>
  </w:p>
  <w:p w14:paraId="750BADF3" w14:textId="77777777" w:rsidR="00EB4D6B" w:rsidRDefault="00EB4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86BE" w14:textId="77777777" w:rsidR="00EB4D6B" w:rsidRDefault="00EB4D6B">
    <w:pPr>
      <w:pStyle w:val="Footer"/>
    </w:pPr>
    <w:r>
      <w:fldChar w:fldCharType="begin"/>
    </w:r>
    <w:r>
      <w:instrText xml:space="preserve"> PAGE   \* MERGEFORMAT </w:instrText>
    </w:r>
    <w:r>
      <w:fldChar w:fldCharType="separate"/>
    </w:r>
    <w:r w:rsidR="00F34F24">
      <w:rPr>
        <w:noProof/>
      </w:rPr>
      <w:t>41</w:t>
    </w:r>
    <w:r>
      <w:rPr>
        <w:noProof/>
      </w:rPr>
      <w:fldChar w:fldCharType="end"/>
    </w:r>
  </w:p>
  <w:p w14:paraId="40AA1E76" w14:textId="77777777" w:rsidR="00EB4D6B" w:rsidRDefault="00EB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B5C5D" w14:textId="77777777" w:rsidR="00C65285" w:rsidRDefault="00C65285" w:rsidP="009B651E">
      <w:r>
        <w:separator/>
      </w:r>
    </w:p>
  </w:footnote>
  <w:footnote w:type="continuationSeparator" w:id="0">
    <w:p w14:paraId="270281D3" w14:textId="77777777" w:rsidR="00C65285" w:rsidRDefault="00C65285" w:rsidP="009B651E">
      <w:r>
        <w:continuationSeparator/>
      </w:r>
    </w:p>
  </w:footnote>
  <w:footnote w:id="1">
    <w:p w14:paraId="1312A803" w14:textId="77777777" w:rsidR="00EB4D6B" w:rsidRPr="00FE0B7F" w:rsidRDefault="00EB4D6B" w:rsidP="00FE0B7F">
      <w:pPr>
        <w:rPr>
          <w:rFonts w:ascii="Times New Roman" w:hAnsi="Times New Roman"/>
          <w:bCs w:val="0"/>
          <w:sz w:val="18"/>
          <w:szCs w:val="18"/>
        </w:rPr>
      </w:pPr>
      <w:r w:rsidRPr="00FE0B7F">
        <w:rPr>
          <w:rStyle w:val="FootnoteReference"/>
          <w:sz w:val="18"/>
          <w:szCs w:val="18"/>
        </w:rPr>
        <w:footnoteRef/>
      </w:r>
      <w:r w:rsidRPr="00FE0B7F">
        <w:rPr>
          <w:sz w:val="18"/>
          <w:szCs w:val="18"/>
        </w:rPr>
        <w:t xml:space="preserve"> </w:t>
      </w:r>
      <w:r w:rsidRPr="006724F3">
        <w:rPr>
          <w:rFonts w:cs="Arial"/>
          <w:sz w:val="18"/>
          <w:szCs w:val="18"/>
        </w:rPr>
        <w:t xml:space="preserve">The revised ICD 11 </w:t>
      </w:r>
      <w:r w:rsidRPr="006724F3">
        <w:rPr>
          <w:rFonts w:cs="Arial"/>
          <w:bCs w:val="0"/>
          <w:color w:val="000000"/>
          <w:sz w:val="18"/>
          <w:szCs w:val="18"/>
        </w:rPr>
        <w:t>refers to the wider ca</w:t>
      </w:r>
      <w:r>
        <w:rPr>
          <w:rFonts w:cs="Arial"/>
          <w:bCs w:val="0"/>
          <w:color w:val="000000"/>
          <w:sz w:val="18"/>
          <w:szCs w:val="18"/>
        </w:rPr>
        <w:t>tegory of 'gender incongruence' (not yet adopted).</w:t>
      </w:r>
    </w:p>
    <w:p w14:paraId="4DC43CE0" w14:textId="77777777" w:rsidR="00EB4D6B" w:rsidRDefault="00EB4D6B">
      <w:pPr>
        <w:pStyle w:val="FootnoteText"/>
      </w:pPr>
    </w:p>
  </w:footnote>
  <w:footnote w:id="2">
    <w:p w14:paraId="7C6049A5" w14:textId="77777777" w:rsidR="00EB4D6B" w:rsidRDefault="00EB4D6B" w:rsidP="00DA7922">
      <w:pPr>
        <w:pStyle w:val="FootnoteText"/>
      </w:pPr>
      <w:r>
        <w:rPr>
          <w:rStyle w:val="FootnoteReference"/>
        </w:rPr>
        <w:footnoteRef/>
      </w:r>
      <w:r>
        <w:t xml:space="preserve"> </w:t>
      </w:r>
      <w:r w:rsidRPr="00DF167F">
        <w:t>The Royal College of Speech and Language Therapists’ “</w:t>
      </w:r>
      <w:r w:rsidRPr="00B65FCA">
        <w:rPr>
          <w:i/>
        </w:rPr>
        <w:t>Trans and Gender-Diverse Voice &amp; Communication Therapy Competency Framework</w:t>
      </w:r>
      <w:r w:rsidRPr="00DF167F">
        <w:t>” (2018) defines the recom</w:t>
      </w:r>
      <w:r w:rsidRPr="00C40C49">
        <w:t xml:space="preserve">mended competency in relation to voice and communication assessment, therapy and advice for service users who identify as </w:t>
      </w:r>
      <w:r w:rsidR="00B14DFA" w:rsidRPr="00C40C49">
        <w:t>Trans</w:t>
      </w:r>
      <w:r w:rsidRPr="00C40C49">
        <w:t xml:space="preserve"> and/or gender-diverse.</w:t>
      </w:r>
      <w:r w:rsidRPr="00DB0268">
        <w:t xml:space="preserve">  </w:t>
      </w:r>
    </w:p>
  </w:footnote>
  <w:footnote w:id="3">
    <w:p w14:paraId="14F62AD7" w14:textId="77777777" w:rsidR="00EB4D6B" w:rsidRDefault="00EB4D6B" w:rsidP="006C37A3">
      <w:pPr>
        <w:pStyle w:val="FootnoteText"/>
      </w:pPr>
      <w:r>
        <w:rPr>
          <w:rStyle w:val="FootnoteReference"/>
        </w:rPr>
        <w:footnoteRef/>
      </w:r>
      <w:r>
        <w:t xml:space="preserve"> NHS England is a signatory to the “</w:t>
      </w:r>
      <w:r w:rsidRPr="00C246E6">
        <w:rPr>
          <w:i/>
        </w:rPr>
        <w:t>Memorandum of Understanding on Conversion Therapy in the UK Version 2</w:t>
      </w:r>
      <w:r>
        <w:t>” (2017)</w:t>
      </w:r>
    </w:p>
  </w:footnote>
  <w:footnote w:id="4">
    <w:p w14:paraId="42D64329" w14:textId="77777777" w:rsidR="00907985" w:rsidRDefault="00907985">
      <w:pPr>
        <w:pStyle w:val="FootnoteText"/>
      </w:pPr>
      <w:r>
        <w:rPr>
          <w:rStyle w:val="FootnoteReference"/>
        </w:rPr>
        <w:footnoteRef/>
      </w:r>
      <w:r>
        <w:t xml:space="preserve"> </w:t>
      </w:r>
      <w:r w:rsidRPr="00907985">
        <w:t xml:space="preserve">Should </w:t>
      </w:r>
      <w:r>
        <w:t xml:space="preserve">the </w:t>
      </w:r>
      <w:r w:rsidRPr="00907985">
        <w:t xml:space="preserve">Gender Recognition Act 2004 </w:t>
      </w:r>
      <w:r>
        <w:t xml:space="preserve">be amended or repealed </w:t>
      </w:r>
      <w:r w:rsidRPr="00907985">
        <w:t>such that the above-mentioned requirements are removed from the legal recognition process then the criteria for access to genital surgery shall be reviewed</w:t>
      </w:r>
      <w:r>
        <w:t xml:space="preserve"> </w:t>
      </w:r>
      <w:r w:rsidR="004E4AB5">
        <w:t xml:space="preserve">by NHS England </w:t>
      </w:r>
      <w:r>
        <w:t>and changes recorded in an amended version of this service specification.</w:t>
      </w:r>
    </w:p>
  </w:footnote>
  <w:footnote w:id="5">
    <w:p w14:paraId="30DB598E" w14:textId="77777777" w:rsidR="00EB4D6B" w:rsidRPr="0033433F" w:rsidRDefault="00EB4D6B" w:rsidP="0076138F">
      <w:pPr>
        <w:pStyle w:val="FootnoteText"/>
        <w:rPr>
          <w:i/>
          <w:sz w:val="16"/>
          <w:szCs w:val="16"/>
        </w:rPr>
      </w:pPr>
      <w:r>
        <w:rPr>
          <w:rStyle w:val="FootnoteReference"/>
        </w:rPr>
        <w:footnoteRef/>
      </w:r>
      <w:r>
        <w:t xml:space="preserve"> </w:t>
      </w:r>
      <w:r>
        <w:rPr>
          <w:i/>
          <w:sz w:val="16"/>
          <w:szCs w:val="16"/>
        </w:rPr>
        <w:t xml:space="preserve">Intimate Examinations and Chaperones; </w:t>
      </w:r>
      <w:r>
        <w:rPr>
          <w:sz w:val="16"/>
          <w:szCs w:val="16"/>
        </w:rPr>
        <w:t>General Medical Council; 2013</w:t>
      </w:r>
      <w:r>
        <w:rPr>
          <w:i/>
          <w:sz w:val="16"/>
          <w:szCs w:val="16"/>
        </w:rPr>
        <w:t xml:space="preserve"> </w:t>
      </w:r>
    </w:p>
  </w:footnote>
  <w:footnote w:id="6">
    <w:p w14:paraId="6A07785F" w14:textId="77777777" w:rsidR="00EB4D6B" w:rsidRDefault="00EB4D6B" w:rsidP="0076138F">
      <w:pPr>
        <w:pStyle w:val="FootnoteText"/>
      </w:pPr>
      <w:r>
        <w:rPr>
          <w:rStyle w:val="FootnoteReference"/>
        </w:rPr>
        <w:footnoteRef/>
      </w:r>
      <w:r>
        <w:t xml:space="preserve"> </w:t>
      </w:r>
      <w:r w:rsidRPr="0033433F">
        <w:rPr>
          <w:i/>
          <w:sz w:val="16"/>
          <w:szCs w:val="16"/>
        </w:rPr>
        <w:t>Guidelines and Literature Review for Psychologists Working Therapeutically with Sexual and Gender Minority Clients</w:t>
      </w:r>
      <w:r w:rsidRPr="0033433F">
        <w:rPr>
          <w:sz w:val="16"/>
          <w:szCs w:val="16"/>
        </w:rPr>
        <w:t xml:space="preserve">; British Psychological Society; 2012 and </w:t>
      </w:r>
      <w:r w:rsidRPr="0033433F">
        <w:rPr>
          <w:i/>
          <w:sz w:val="16"/>
          <w:szCs w:val="16"/>
        </w:rPr>
        <w:t xml:space="preserve">Guidelines for Psychological Practice </w:t>
      </w:r>
      <w:proofErr w:type="gramStart"/>
      <w:r w:rsidRPr="0033433F">
        <w:rPr>
          <w:i/>
          <w:sz w:val="16"/>
          <w:szCs w:val="16"/>
        </w:rPr>
        <w:t>With</w:t>
      </w:r>
      <w:proofErr w:type="gramEnd"/>
      <w:r w:rsidRPr="0033433F">
        <w:rPr>
          <w:i/>
          <w:sz w:val="16"/>
          <w:szCs w:val="16"/>
        </w:rPr>
        <w:t xml:space="preserve"> Transgender and Gender Nonconforming People</w:t>
      </w:r>
      <w:r w:rsidRPr="0033433F">
        <w:rPr>
          <w:sz w:val="16"/>
          <w:szCs w:val="16"/>
        </w:rPr>
        <w:t xml:space="preserve">; American Psychological Association; 2015; and </w:t>
      </w:r>
      <w:r w:rsidRPr="0033433F">
        <w:rPr>
          <w:i/>
          <w:sz w:val="16"/>
          <w:szCs w:val="16"/>
        </w:rPr>
        <w:t>Standards of Care (v7);</w:t>
      </w:r>
      <w:r w:rsidRPr="0033433F">
        <w:rPr>
          <w:sz w:val="16"/>
          <w:szCs w:val="16"/>
        </w:rPr>
        <w:t xml:space="preserve"> World Professional Association for Transgender Health; 2011</w:t>
      </w:r>
    </w:p>
  </w:footnote>
  <w:footnote w:id="7">
    <w:p w14:paraId="3BA1C1E8" w14:textId="77777777" w:rsidR="00EB4D6B" w:rsidRPr="0033433F" w:rsidRDefault="00EB4D6B" w:rsidP="0045504F">
      <w:pPr>
        <w:pStyle w:val="FootnoteText"/>
        <w:rPr>
          <w:sz w:val="16"/>
          <w:szCs w:val="16"/>
        </w:rPr>
      </w:pPr>
      <w:r>
        <w:rPr>
          <w:rStyle w:val="FootnoteReference"/>
        </w:rPr>
        <w:footnoteRef/>
      </w:r>
      <w:r>
        <w:t xml:space="preserve"> </w:t>
      </w:r>
      <w:r>
        <w:rPr>
          <w:i/>
          <w:sz w:val="16"/>
          <w:szCs w:val="16"/>
        </w:rPr>
        <w:t xml:space="preserve">Advice for Doctors Treating Transgender Patients; </w:t>
      </w:r>
      <w:r>
        <w:rPr>
          <w:sz w:val="16"/>
          <w:szCs w:val="16"/>
        </w:rPr>
        <w:t>General Medical Council;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32A3"/>
    <w:multiLevelType w:val="hybridMultilevel"/>
    <w:tmpl w:val="66B6EF8C"/>
    <w:lvl w:ilvl="0" w:tplc="E2E4FBC6">
      <w:start w:val="1"/>
      <w:numFmt w:val="decimal"/>
      <w:lvlText w:val="%1.3"/>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F64FB"/>
    <w:multiLevelType w:val="hybridMultilevel"/>
    <w:tmpl w:val="863C2B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C1A7381"/>
    <w:multiLevelType w:val="hybridMultilevel"/>
    <w:tmpl w:val="F7B22D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CB55B7"/>
    <w:multiLevelType w:val="multilevel"/>
    <w:tmpl w:val="020CE660"/>
    <w:lvl w:ilvl="0">
      <w:start w:val="1"/>
      <w:numFmt w:val="decimal"/>
      <w:lvlText w:val="%1.0"/>
      <w:lvlJc w:val="left"/>
      <w:pPr>
        <w:ind w:left="744" w:hanging="744"/>
      </w:pPr>
      <w:rPr>
        <w:rFonts w:hint="default"/>
      </w:rPr>
    </w:lvl>
    <w:lvl w:ilvl="1">
      <w:start w:val="1"/>
      <w:numFmt w:val="decimal"/>
      <w:lvlText w:val="%1.%2"/>
      <w:lvlJc w:val="left"/>
      <w:pPr>
        <w:ind w:left="1464" w:hanging="744"/>
      </w:pPr>
      <w:rPr>
        <w:rFonts w:hint="default"/>
      </w:rPr>
    </w:lvl>
    <w:lvl w:ilvl="2">
      <w:start w:val="1"/>
      <w:numFmt w:val="decimal"/>
      <w:lvlText w:val="%1.%2.%3"/>
      <w:lvlJc w:val="left"/>
      <w:pPr>
        <w:ind w:left="2184" w:hanging="74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ED770D"/>
    <w:multiLevelType w:val="multilevel"/>
    <w:tmpl w:val="020CE660"/>
    <w:lvl w:ilvl="0">
      <w:start w:val="1"/>
      <w:numFmt w:val="decimal"/>
      <w:lvlText w:val="%1.0"/>
      <w:lvlJc w:val="left"/>
      <w:pPr>
        <w:ind w:left="744" w:hanging="744"/>
      </w:pPr>
      <w:rPr>
        <w:rFonts w:hint="default"/>
      </w:rPr>
    </w:lvl>
    <w:lvl w:ilvl="1">
      <w:start w:val="1"/>
      <w:numFmt w:val="decimal"/>
      <w:lvlText w:val="%1.%2"/>
      <w:lvlJc w:val="left"/>
      <w:pPr>
        <w:ind w:left="1464" w:hanging="744"/>
      </w:pPr>
      <w:rPr>
        <w:rFonts w:hint="default"/>
      </w:rPr>
    </w:lvl>
    <w:lvl w:ilvl="2">
      <w:start w:val="1"/>
      <w:numFmt w:val="decimal"/>
      <w:lvlText w:val="%1.%2.%3"/>
      <w:lvlJc w:val="left"/>
      <w:pPr>
        <w:ind w:left="2184" w:hanging="74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236B50"/>
    <w:multiLevelType w:val="hybridMultilevel"/>
    <w:tmpl w:val="64DE0D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AD30DA"/>
    <w:multiLevelType w:val="hybridMultilevel"/>
    <w:tmpl w:val="8F043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CA4B4B"/>
    <w:multiLevelType w:val="hybridMultilevel"/>
    <w:tmpl w:val="70F85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0C271B"/>
    <w:multiLevelType w:val="multilevel"/>
    <w:tmpl w:val="DB887DE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D6D6C"/>
    <w:multiLevelType w:val="hybridMultilevel"/>
    <w:tmpl w:val="932CA9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44C02"/>
    <w:multiLevelType w:val="hybridMultilevel"/>
    <w:tmpl w:val="63BC7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6B10AB"/>
    <w:multiLevelType w:val="hybridMultilevel"/>
    <w:tmpl w:val="3A04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7CE1203"/>
    <w:multiLevelType w:val="hybridMultilevel"/>
    <w:tmpl w:val="57689D78"/>
    <w:lvl w:ilvl="0" w:tplc="08090001">
      <w:start w:val="1"/>
      <w:numFmt w:val="bullet"/>
      <w:lvlText w:val=""/>
      <w:lvlJc w:val="left"/>
      <w:pPr>
        <w:ind w:left="1188" w:hanging="360"/>
      </w:pPr>
      <w:rPr>
        <w:rFonts w:ascii="Symbol" w:hAnsi="Symbol" w:hint="default"/>
      </w:rPr>
    </w:lvl>
    <w:lvl w:ilvl="1" w:tplc="08090003">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15" w15:restartNumberingAfterBreak="0">
    <w:nsid w:val="39BC1371"/>
    <w:multiLevelType w:val="hybridMultilevel"/>
    <w:tmpl w:val="11DC9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100C1F"/>
    <w:multiLevelType w:val="hybridMultilevel"/>
    <w:tmpl w:val="EA4017E2"/>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95E53F4"/>
    <w:multiLevelType w:val="hybridMultilevel"/>
    <w:tmpl w:val="E7B49E0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8" w15:restartNumberingAfterBreak="0">
    <w:nsid w:val="4CF22E31"/>
    <w:multiLevelType w:val="hybridMultilevel"/>
    <w:tmpl w:val="875C6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51556A"/>
    <w:multiLevelType w:val="hybridMultilevel"/>
    <w:tmpl w:val="026E8AC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15:restartNumberingAfterBreak="0">
    <w:nsid w:val="4EC92D0A"/>
    <w:multiLevelType w:val="hybridMultilevel"/>
    <w:tmpl w:val="3B5CBAA0"/>
    <w:lvl w:ilvl="0" w:tplc="08090003">
      <w:start w:val="1"/>
      <w:numFmt w:val="bullet"/>
      <w:lvlText w:val="o"/>
      <w:lvlJc w:val="left"/>
      <w:pPr>
        <w:ind w:left="1440" w:hanging="360"/>
      </w:pPr>
      <w:rPr>
        <w:rFonts w:ascii="Courier New" w:hAnsi="Courier New" w:cs="Courier New"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2F37732"/>
    <w:multiLevelType w:val="hybridMultilevel"/>
    <w:tmpl w:val="FD460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732D5A"/>
    <w:multiLevelType w:val="multilevel"/>
    <w:tmpl w:val="020CE660"/>
    <w:lvl w:ilvl="0">
      <w:start w:val="1"/>
      <w:numFmt w:val="decimal"/>
      <w:lvlText w:val="%1.0"/>
      <w:lvlJc w:val="left"/>
      <w:pPr>
        <w:ind w:left="744" w:hanging="744"/>
      </w:pPr>
      <w:rPr>
        <w:rFonts w:hint="default"/>
      </w:rPr>
    </w:lvl>
    <w:lvl w:ilvl="1">
      <w:start w:val="1"/>
      <w:numFmt w:val="decimal"/>
      <w:lvlText w:val="%1.%2"/>
      <w:lvlJc w:val="left"/>
      <w:pPr>
        <w:ind w:left="1464" w:hanging="744"/>
      </w:pPr>
      <w:rPr>
        <w:rFonts w:hint="default"/>
      </w:rPr>
    </w:lvl>
    <w:lvl w:ilvl="2">
      <w:start w:val="1"/>
      <w:numFmt w:val="decimal"/>
      <w:lvlText w:val="%1.%2.%3"/>
      <w:lvlJc w:val="left"/>
      <w:pPr>
        <w:ind w:left="2184" w:hanging="74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DA2A01"/>
    <w:multiLevelType w:val="multilevel"/>
    <w:tmpl w:val="7F5EAAEE"/>
    <w:lvl w:ilvl="0">
      <w:start w:val="3"/>
      <w:numFmt w:val="decimal"/>
      <w:lvlText w:val="%1."/>
      <w:lvlJc w:val="left"/>
      <w:pPr>
        <w:ind w:left="360" w:hanging="360"/>
      </w:pPr>
      <w:rPr>
        <w:rFonts w:hint="default"/>
        <w:b w:val="0"/>
        <w:bCs w:val="0"/>
      </w:rPr>
    </w:lvl>
    <w:lvl w:ilvl="1">
      <w:start w:val="1"/>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71204C1"/>
    <w:multiLevelType w:val="hybridMultilevel"/>
    <w:tmpl w:val="7B9CB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DD4D3F"/>
    <w:multiLevelType w:val="hybridMultilevel"/>
    <w:tmpl w:val="4140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81232"/>
    <w:multiLevelType w:val="multilevel"/>
    <w:tmpl w:val="70E6C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E342D9"/>
    <w:multiLevelType w:val="hybridMultilevel"/>
    <w:tmpl w:val="7A6A9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590F37"/>
    <w:multiLevelType w:val="hybridMultilevel"/>
    <w:tmpl w:val="C196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A729A"/>
    <w:multiLevelType w:val="hybridMultilevel"/>
    <w:tmpl w:val="D736ABCC"/>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68D453E4"/>
    <w:multiLevelType w:val="hybridMultilevel"/>
    <w:tmpl w:val="55F2A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F53FEB"/>
    <w:multiLevelType w:val="multilevel"/>
    <w:tmpl w:val="816C7D8C"/>
    <w:lvl w:ilvl="0">
      <w:start w:val="1"/>
      <w:numFmt w:val="decimal"/>
      <w:lvlText w:val="%1."/>
      <w:lvlJc w:val="left"/>
      <w:pPr>
        <w:ind w:left="720" w:hanging="360"/>
      </w:pPr>
      <w:rPr>
        <w:rFonts w:hint="default"/>
        <w:color w:val="auto"/>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EA6FF1"/>
    <w:multiLevelType w:val="multilevel"/>
    <w:tmpl w:val="020CE660"/>
    <w:styleLink w:val="CurrentList2"/>
    <w:lvl w:ilvl="0">
      <w:start w:val="1"/>
      <w:numFmt w:val="decimal"/>
      <w:lvlText w:val="%1.0"/>
      <w:lvlJc w:val="left"/>
      <w:pPr>
        <w:ind w:left="744" w:hanging="744"/>
      </w:pPr>
      <w:rPr>
        <w:rFonts w:hint="default"/>
      </w:rPr>
    </w:lvl>
    <w:lvl w:ilvl="1">
      <w:start w:val="1"/>
      <w:numFmt w:val="decimal"/>
      <w:lvlText w:val="%1.%2"/>
      <w:lvlJc w:val="left"/>
      <w:pPr>
        <w:ind w:left="1464" w:hanging="744"/>
      </w:pPr>
      <w:rPr>
        <w:rFonts w:hint="default"/>
      </w:rPr>
    </w:lvl>
    <w:lvl w:ilvl="2">
      <w:start w:val="1"/>
      <w:numFmt w:val="decimal"/>
      <w:lvlText w:val="%1.%2.%3"/>
      <w:lvlJc w:val="left"/>
      <w:pPr>
        <w:ind w:left="2184" w:hanging="74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7C2BE5"/>
    <w:multiLevelType w:val="hybridMultilevel"/>
    <w:tmpl w:val="34286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6035C3"/>
    <w:multiLevelType w:val="hybridMultilevel"/>
    <w:tmpl w:val="556A3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0238F3"/>
    <w:multiLevelType w:val="hybridMultilevel"/>
    <w:tmpl w:val="F09E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EE5230"/>
    <w:multiLevelType w:val="hybridMultilevel"/>
    <w:tmpl w:val="9438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A2A86"/>
    <w:multiLevelType w:val="multilevel"/>
    <w:tmpl w:val="020CE660"/>
    <w:styleLink w:val="CurrentList1"/>
    <w:lvl w:ilvl="0">
      <w:start w:val="1"/>
      <w:numFmt w:val="decimal"/>
      <w:lvlText w:val="%1.0"/>
      <w:lvlJc w:val="left"/>
      <w:pPr>
        <w:ind w:left="744" w:hanging="744"/>
      </w:pPr>
      <w:rPr>
        <w:rFonts w:hint="default"/>
      </w:rPr>
    </w:lvl>
    <w:lvl w:ilvl="1">
      <w:start w:val="1"/>
      <w:numFmt w:val="decimal"/>
      <w:lvlText w:val="%1.%2"/>
      <w:lvlJc w:val="left"/>
      <w:pPr>
        <w:ind w:left="1464" w:hanging="744"/>
      </w:pPr>
      <w:rPr>
        <w:rFonts w:hint="default"/>
      </w:rPr>
    </w:lvl>
    <w:lvl w:ilvl="2">
      <w:start w:val="1"/>
      <w:numFmt w:val="decimal"/>
      <w:lvlText w:val="%1.%2.%3"/>
      <w:lvlJc w:val="left"/>
      <w:pPr>
        <w:ind w:left="2184" w:hanging="74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44689980">
    <w:abstractNumId w:val="13"/>
  </w:num>
  <w:num w:numId="2" w16cid:durableId="991104134">
    <w:abstractNumId w:val="6"/>
  </w:num>
  <w:num w:numId="3" w16cid:durableId="775059031">
    <w:abstractNumId w:val="2"/>
  </w:num>
  <w:num w:numId="4" w16cid:durableId="701518643">
    <w:abstractNumId w:val="16"/>
  </w:num>
  <w:num w:numId="5" w16cid:durableId="107507679">
    <w:abstractNumId w:val="27"/>
  </w:num>
  <w:num w:numId="6" w16cid:durableId="351567395">
    <w:abstractNumId w:val="22"/>
  </w:num>
  <w:num w:numId="7" w16cid:durableId="1741251596">
    <w:abstractNumId w:val="24"/>
  </w:num>
  <w:num w:numId="8" w16cid:durableId="1787849395">
    <w:abstractNumId w:val="12"/>
  </w:num>
  <w:num w:numId="9" w16cid:durableId="806778531">
    <w:abstractNumId w:val="30"/>
  </w:num>
  <w:num w:numId="10" w16cid:durableId="795560194">
    <w:abstractNumId w:val="35"/>
  </w:num>
  <w:num w:numId="11" w16cid:durableId="134685662">
    <w:abstractNumId w:val="8"/>
  </w:num>
  <w:num w:numId="12" w16cid:durableId="562563864">
    <w:abstractNumId w:val="34"/>
  </w:num>
  <w:num w:numId="13" w16cid:durableId="1179540113">
    <w:abstractNumId w:val="9"/>
  </w:num>
  <w:num w:numId="14" w16cid:durableId="800463098">
    <w:abstractNumId w:val="26"/>
  </w:num>
  <w:num w:numId="15" w16cid:durableId="1910994487">
    <w:abstractNumId w:val="15"/>
  </w:num>
  <w:num w:numId="16" w16cid:durableId="1931770999">
    <w:abstractNumId w:val="5"/>
  </w:num>
  <w:num w:numId="17" w16cid:durableId="804812476">
    <w:abstractNumId w:val="28"/>
  </w:num>
  <w:num w:numId="18" w16cid:durableId="1667047590">
    <w:abstractNumId w:val="25"/>
  </w:num>
  <w:num w:numId="19" w16cid:durableId="1231113080">
    <w:abstractNumId w:val="1"/>
  </w:num>
  <w:num w:numId="20" w16cid:durableId="2095349127">
    <w:abstractNumId w:val="18"/>
  </w:num>
  <w:num w:numId="21" w16cid:durableId="165364720">
    <w:abstractNumId w:val="7"/>
  </w:num>
  <w:num w:numId="22" w16cid:durableId="238567112">
    <w:abstractNumId w:val="19"/>
  </w:num>
  <w:num w:numId="23" w16cid:durableId="996349634">
    <w:abstractNumId w:val="0"/>
  </w:num>
  <w:num w:numId="24" w16cid:durableId="1047754307">
    <w:abstractNumId w:val="31"/>
  </w:num>
  <w:num w:numId="25" w16cid:durableId="939917593">
    <w:abstractNumId w:val="20"/>
  </w:num>
  <w:num w:numId="26" w16cid:durableId="1010722381">
    <w:abstractNumId w:val="17"/>
  </w:num>
  <w:num w:numId="27" w16cid:durableId="1991013488">
    <w:abstractNumId w:val="29"/>
  </w:num>
  <w:num w:numId="28" w16cid:durableId="899363809">
    <w:abstractNumId w:val="14"/>
  </w:num>
  <w:num w:numId="29" w16cid:durableId="97719715">
    <w:abstractNumId w:val="36"/>
  </w:num>
  <w:num w:numId="30" w16cid:durableId="1078868972">
    <w:abstractNumId w:val="11"/>
  </w:num>
  <w:num w:numId="31" w16cid:durableId="162546601">
    <w:abstractNumId w:val="33"/>
  </w:num>
  <w:num w:numId="32" w16cid:durableId="1589344370">
    <w:abstractNumId w:val="21"/>
  </w:num>
  <w:num w:numId="33" w16cid:durableId="258607768">
    <w:abstractNumId w:val="3"/>
  </w:num>
  <w:num w:numId="34" w16cid:durableId="2108383961">
    <w:abstractNumId w:val="4"/>
  </w:num>
  <w:num w:numId="35" w16cid:durableId="135991716">
    <w:abstractNumId w:val="37"/>
  </w:num>
  <w:num w:numId="36" w16cid:durableId="142698654">
    <w:abstractNumId w:val="23"/>
  </w:num>
  <w:num w:numId="37" w16cid:durableId="1382904388">
    <w:abstractNumId w:val="32"/>
  </w:num>
  <w:num w:numId="38" w16cid:durableId="61795050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7D"/>
    <w:rsid w:val="00001C5E"/>
    <w:rsid w:val="00017CAF"/>
    <w:rsid w:val="00031600"/>
    <w:rsid w:val="00053605"/>
    <w:rsid w:val="000559EC"/>
    <w:rsid w:val="0005756E"/>
    <w:rsid w:val="000608F6"/>
    <w:rsid w:val="000812F5"/>
    <w:rsid w:val="000904A3"/>
    <w:rsid w:val="000B40B6"/>
    <w:rsid w:val="000F0084"/>
    <w:rsid w:val="00105269"/>
    <w:rsid w:val="00115E74"/>
    <w:rsid w:val="00131559"/>
    <w:rsid w:val="00152739"/>
    <w:rsid w:val="00152E3A"/>
    <w:rsid w:val="0017119F"/>
    <w:rsid w:val="0017346A"/>
    <w:rsid w:val="001755DE"/>
    <w:rsid w:val="001761FB"/>
    <w:rsid w:val="00180871"/>
    <w:rsid w:val="001C1E0F"/>
    <w:rsid w:val="001D219E"/>
    <w:rsid w:val="001D496D"/>
    <w:rsid w:val="001D4BDF"/>
    <w:rsid w:val="001E0B76"/>
    <w:rsid w:val="001E5F6F"/>
    <w:rsid w:val="001F52F6"/>
    <w:rsid w:val="00226ADB"/>
    <w:rsid w:val="0022708D"/>
    <w:rsid w:val="002403F9"/>
    <w:rsid w:val="00246B1A"/>
    <w:rsid w:val="00254883"/>
    <w:rsid w:val="002571CD"/>
    <w:rsid w:val="0026206D"/>
    <w:rsid w:val="00267485"/>
    <w:rsid w:val="00277D4D"/>
    <w:rsid w:val="00284605"/>
    <w:rsid w:val="0028640D"/>
    <w:rsid w:val="00286B48"/>
    <w:rsid w:val="002D2606"/>
    <w:rsid w:val="002D48C5"/>
    <w:rsid w:val="002D6839"/>
    <w:rsid w:val="002E1AF4"/>
    <w:rsid w:val="002E7DF8"/>
    <w:rsid w:val="002F2CA8"/>
    <w:rsid w:val="002F7CC9"/>
    <w:rsid w:val="0034400A"/>
    <w:rsid w:val="0035359C"/>
    <w:rsid w:val="00361880"/>
    <w:rsid w:val="00362563"/>
    <w:rsid w:val="003A26D8"/>
    <w:rsid w:val="003A781D"/>
    <w:rsid w:val="003A7CEE"/>
    <w:rsid w:val="003C2102"/>
    <w:rsid w:val="003E3730"/>
    <w:rsid w:val="00405D43"/>
    <w:rsid w:val="00412839"/>
    <w:rsid w:val="00415418"/>
    <w:rsid w:val="00425521"/>
    <w:rsid w:val="0043419C"/>
    <w:rsid w:val="004363D8"/>
    <w:rsid w:val="004462CB"/>
    <w:rsid w:val="0045504F"/>
    <w:rsid w:val="004568C0"/>
    <w:rsid w:val="0046291B"/>
    <w:rsid w:val="00466A5E"/>
    <w:rsid w:val="00471764"/>
    <w:rsid w:val="00476C9C"/>
    <w:rsid w:val="004834FD"/>
    <w:rsid w:val="004951FD"/>
    <w:rsid w:val="00496C5B"/>
    <w:rsid w:val="004B17B9"/>
    <w:rsid w:val="004B6921"/>
    <w:rsid w:val="004D2EBB"/>
    <w:rsid w:val="004E4AB5"/>
    <w:rsid w:val="004E4DCD"/>
    <w:rsid w:val="004E6AF2"/>
    <w:rsid w:val="00507AC8"/>
    <w:rsid w:val="00512A35"/>
    <w:rsid w:val="00514293"/>
    <w:rsid w:val="0052699A"/>
    <w:rsid w:val="00536FFA"/>
    <w:rsid w:val="00541415"/>
    <w:rsid w:val="00544DBB"/>
    <w:rsid w:val="00544E2B"/>
    <w:rsid w:val="005516B3"/>
    <w:rsid w:val="0058470A"/>
    <w:rsid w:val="005973E0"/>
    <w:rsid w:val="005A05A7"/>
    <w:rsid w:val="005A14E3"/>
    <w:rsid w:val="005B15F0"/>
    <w:rsid w:val="005D7734"/>
    <w:rsid w:val="005D7E08"/>
    <w:rsid w:val="00600D88"/>
    <w:rsid w:val="00605AC7"/>
    <w:rsid w:val="006118C1"/>
    <w:rsid w:val="00624AA9"/>
    <w:rsid w:val="006446E1"/>
    <w:rsid w:val="006471C5"/>
    <w:rsid w:val="00654916"/>
    <w:rsid w:val="00667813"/>
    <w:rsid w:val="006724F3"/>
    <w:rsid w:val="006A2CFF"/>
    <w:rsid w:val="006A5605"/>
    <w:rsid w:val="006B19B2"/>
    <w:rsid w:val="006B54CC"/>
    <w:rsid w:val="006C37A3"/>
    <w:rsid w:val="006D0440"/>
    <w:rsid w:val="006D22D7"/>
    <w:rsid w:val="006E5522"/>
    <w:rsid w:val="006E772F"/>
    <w:rsid w:val="006F0496"/>
    <w:rsid w:val="0070204D"/>
    <w:rsid w:val="0071555D"/>
    <w:rsid w:val="00715CAD"/>
    <w:rsid w:val="00716B94"/>
    <w:rsid w:val="007218C0"/>
    <w:rsid w:val="0073350F"/>
    <w:rsid w:val="00736A9C"/>
    <w:rsid w:val="007400B8"/>
    <w:rsid w:val="0074225F"/>
    <w:rsid w:val="00753AAE"/>
    <w:rsid w:val="0076138F"/>
    <w:rsid w:val="007619B9"/>
    <w:rsid w:val="00763EFB"/>
    <w:rsid w:val="00777F5F"/>
    <w:rsid w:val="007810E1"/>
    <w:rsid w:val="007842E7"/>
    <w:rsid w:val="007A02E8"/>
    <w:rsid w:val="007A07DA"/>
    <w:rsid w:val="007D72B6"/>
    <w:rsid w:val="008155F7"/>
    <w:rsid w:val="00821266"/>
    <w:rsid w:val="00840078"/>
    <w:rsid w:val="008457D3"/>
    <w:rsid w:val="00850926"/>
    <w:rsid w:val="00866AF2"/>
    <w:rsid w:val="008703CC"/>
    <w:rsid w:val="00870B80"/>
    <w:rsid w:val="00884FCA"/>
    <w:rsid w:val="008C1F1B"/>
    <w:rsid w:val="00904B04"/>
    <w:rsid w:val="00907985"/>
    <w:rsid w:val="009212B3"/>
    <w:rsid w:val="009277F7"/>
    <w:rsid w:val="0093093D"/>
    <w:rsid w:val="00930C78"/>
    <w:rsid w:val="00946D75"/>
    <w:rsid w:val="00951BA0"/>
    <w:rsid w:val="00954E07"/>
    <w:rsid w:val="0098495E"/>
    <w:rsid w:val="00990653"/>
    <w:rsid w:val="009A17E7"/>
    <w:rsid w:val="009A2D5D"/>
    <w:rsid w:val="009A5379"/>
    <w:rsid w:val="009A5DB4"/>
    <w:rsid w:val="009B651E"/>
    <w:rsid w:val="009B6B7E"/>
    <w:rsid w:val="009D372F"/>
    <w:rsid w:val="009D4EF1"/>
    <w:rsid w:val="009D579A"/>
    <w:rsid w:val="009E67DF"/>
    <w:rsid w:val="009F11F0"/>
    <w:rsid w:val="00A01631"/>
    <w:rsid w:val="00A02591"/>
    <w:rsid w:val="00A033AF"/>
    <w:rsid w:val="00A1194F"/>
    <w:rsid w:val="00A1770C"/>
    <w:rsid w:val="00A24D0D"/>
    <w:rsid w:val="00A32E63"/>
    <w:rsid w:val="00A33013"/>
    <w:rsid w:val="00A35197"/>
    <w:rsid w:val="00A515FD"/>
    <w:rsid w:val="00A517B0"/>
    <w:rsid w:val="00A55C44"/>
    <w:rsid w:val="00A563E7"/>
    <w:rsid w:val="00A5782B"/>
    <w:rsid w:val="00A61D17"/>
    <w:rsid w:val="00A73BE2"/>
    <w:rsid w:val="00A8689D"/>
    <w:rsid w:val="00AA68F7"/>
    <w:rsid w:val="00AB0377"/>
    <w:rsid w:val="00AD79C9"/>
    <w:rsid w:val="00AE473A"/>
    <w:rsid w:val="00AF2F15"/>
    <w:rsid w:val="00B06CE7"/>
    <w:rsid w:val="00B07756"/>
    <w:rsid w:val="00B149FD"/>
    <w:rsid w:val="00B14DFA"/>
    <w:rsid w:val="00B34021"/>
    <w:rsid w:val="00B62137"/>
    <w:rsid w:val="00B7037D"/>
    <w:rsid w:val="00B74AF7"/>
    <w:rsid w:val="00B76091"/>
    <w:rsid w:val="00B8371C"/>
    <w:rsid w:val="00BB209B"/>
    <w:rsid w:val="00BB38B4"/>
    <w:rsid w:val="00BB50D9"/>
    <w:rsid w:val="00BD6EAC"/>
    <w:rsid w:val="00BE1E22"/>
    <w:rsid w:val="00BE2058"/>
    <w:rsid w:val="00BE3E39"/>
    <w:rsid w:val="00BE5D81"/>
    <w:rsid w:val="00C0102F"/>
    <w:rsid w:val="00C039F2"/>
    <w:rsid w:val="00C03CFC"/>
    <w:rsid w:val="00C14527"/>
    <w:rsid w:val="00C166C5"/>
    <w:rsid w:val="00C246E6"/>
    <w:rsid w:val="00C3417C"/>
    <w:rsid w:val="00C40C49"/>
    <w:rsid w:val="00C468E9"/>
    <w:rsid w:val="00C5713B"/>
    <w:rsid w:val="00C65285"/>
    <w:rsid w:val="00C75B9D"/>
    <w:rsid w:val="00C9485D"/>
    <w:rsid w:val="00CA4543"/>
    <w:rsid w:val="00CA5419"/>
    <w:rsid w:val="00CB26F8"/>
    <w:rsid w:val="00CC0405"/>
    <w:rsid w:val="00CC454F"/>
    <w:rsid w:val="00CD6ED9"/>
    <w:rsid w:val="00CE155B"/>
    <w:rsid w:val="00D05CDC"/>
    <w:rsid w:val="00D30696"/>
    <w:rsid w:val="00D32118"/>
    <w:rsid w:val="00D3287B"/>
    <w:rsid w:val="00D41067"/>
    <w:rsid w:val="00D43CF3"/>
    <w:rsid w:val="00D611F1"/>
    <w:rsid w:val="00D83ED0"/>
    <w:rsid w:val="00D92284"/>
    <w:rsid w:val="00D96409"/>
    <w:rsid w:val="00DA7922"/>
    <w:rsid w:val="00DB0268"/>
    <w:rsid w:val="00DB39A3"/>
    <w:rsid w:val="00DB6C3F"/>
    <w:rsid w:val="00DC6889"/>
    <w:rsid w:val="00DD16A8"/>
    <w:rsid w:val="00DD3905"/>
    <w:rsid w:val="00DD534A"/>
    <w:rsid w:val="00DE7DE1"/>
    <w:rsid w:val="00DF167F"/>
    <w:rsid w:val="00DF5160"/>
    <w:rsid w:val="00DF6F26"/>
    <w:rsid w:val="00E041ED"/>
    <w:rsid w:val="00E10072"/>
    <w:rsid w:val="00E1125F"/>
    <w:rsid w:val="00E12897"/>
    <w:rsid w:val="00E12FAF"/>
    <w:rsid w:val="00E228A4"/>
    <w:rsid w:val="00E25C4E"/>
    <w:rsid w:val="00E43689"/>
    <w:rsid w:val="00E6146F"/>
    <w:rsid w:val="00E63972"/>
    <w:rsid w:val="00E7178A"/>
    <w:rsid w:val="00E771D7"/>
    <w:rsid w:val="00E82FDD"/>
    <w:rsid w:val="00E83608"/>
    <w:rsid w:val="00EA4BE4"/>
    <w:rsid w:val="00EB0D13"/>
    <w:rsid w:val="00EB4D6B"/>
    <w:rsid w:val="00EC2626"/>
    <w:rsid w:val="00ED694C"/>
    <w:rsid w:val="00EF46B3"/>
    <w:rsid w:val="00EF5FEE"/>
    <w:rsid w:val="00F14C7F"/>
    <w:rsid w:val="00F14EA8"/>
    <w:rsid w:val="00F2208C"/>
    <w:rsid w:val="00F22BBD"/>
    <w:rsid w:val="00F33DD4"/>
    <w:rsid w:val="00F34F24"/>
    <w:rsid w:val="00F45445"/>
    <w:rsid w:val="00F5316E"/>
    <w:rsid w:val="00F64BDD"/>
    <w:rsid w:val="00F95783"/>
    <w:rsid w:val="00FA2B91"/>
    <w:rsid w:val="00FB7EAB"/>
    <w:rsid w:val="00FD5F32"/>
    <w:rsid w:val="00FE0B7F"/>
    <w:rsid w:val="00FE2974"/>
    <w:rsid w:val="00FE32A2"/>
    <w:rsid w:val="00FF17E0"/>
    <w:rsid w:val="00FF69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B848"/>
  <w15:chartTrackingRefBased/>
  <w15:docId w15:val="{F2CAE36E-E09F-4D80-9DDD-9C5C96E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83"/>
    <w:rPr>
      <w:rFonts w:ascii="Arial" w:eastAsia="Times New Roman" w:hAnsi="Arial"/>
      <w:bCs/>
      <w:sz w:val="24"/>
      <w:szCs w:val="26"/>
      <w:lang w:eastAsia="en-US"/>
    </w:rPr>
  </w:style>
  <w:style w:type="paragraph" w:styleId="Heading1">
    <w:name w:val="heading 1"/>
    <w:basedOn w:val="Normal"/>
    <w:next w:val="Normal"/>
    <w:link w:val="Heading1Char"/>
    <w:uiPriority w:val="9"/>
    <w:qFormat/>
    <w:rsid w:val="00B7037D"/>
    <w:pPr>
      <w:numPr>
        <w:numId w:val="1"/>
      </w:numPr>
      <w:outlineLvl w:val="0"/>
    </w:pPr>
    <w:rPr>
      <w:b/>
      <w:kern w:val="32"/>
      <w:sz w:val="32"/>
      <w:szCs w:val="32"/>
      <w:lang w:val="x-none" w:eastAsia="x-none"/>
    </w:rPr>
  </w:style>
  <w:style w:type="paragraph" w:styleId="Heading2">
    <w:name w:val="heading 2"/>
    <w:basedOn w:val="Normal"/>
    <w:next w:val="Normal"/>
    <w:link w:val="Heading2Char"/>
    <w:uiPriority w:val="9"/>
    <w:unhideWhenUsed/>
    <w:qFormat/>
    <w:rsid w:val="00B7037D"/>
    <w:pPr>
      <w:numPr>
        <w:ilvl w:val="1"/>
        <w:numId w:val="1"/>
      </w:numPr>
      <w:spacing w:line="360" w:lineRule="auto"/>
      <w:outlineLvl w:val="1"/>
    </w:pPr>
    <w:rPr>
      <w:b/>
      <w:iCs/>
      <w:sz w:val="28"/>
      <w:szCs w:val="28"/>
      <w:lang w:val="x-none" w:eastAsia="x-none"/>
    </w:rPr>
  </w:style>
  <w:style w:type="paragraph" w:styleId="Heading3">
    <w:name w:val="heading 3"/>
    <w:basedOn w:val="Normal"/>
    <w:next w:val="Normal"/>
    <w:link w:val="Heading3Char"/>
    <w:uiPriority w:val="9"/>
    <w:unhideWhenUsed/>
    <w:qFormat/>
    <w:rsid w:val="00B7037D"/>
    <w:pPr>
      <w:numPr>
        <w:ilvl w:val="2"/>
        <w:numId w:val="1"/>
      </w:numPr>
      <w:spacing w:line="360" w:lineRule="auto"/>
      <w:outlineLvl w:val="2"/>
    </w:pPr>
    <w:rPr>
      <w:b/>
      <w:lang w:val="x-none" w:eastAsia="x-none"/>
    </w:rPr>
  </w:style>
  <w:style w:type="paragraph" w:styleId="Heading4">
    <w:name w:val="heading 4"/>
    <w:basedOn w:val="Normal"/>
    <w:next w:val="Normal"/>
    <w:link w:val="Heading4Char"/>
    <w:uiPriority w:val="9"/>
    <w:unhideWhenUsed/>
    <w:qFormat/>
    <w:rsid w:val="00B7037D"/>
    <w:pPr>
      <w:keepNext/>
      <w:keepLines/>
      <w:numPr>
        <w:ilvl w:val="3"/>
        <w:numId w:val="1"/>
      </w:numPr>
      <w:spacing w:before="200"/>
      <w:outlineLvl w:val="3"/>
    </w:pPr>
    <w:rPr>
      <w:rFonts w:ascii="Cambria" w:hAnsi="Cambria"/>
      <w:b/>
      <w:bCs w:val="0"/>
      <w:i/>
      <w:iCs/>
      <w:lang w:val="x-none" w:eastAsia="x-none"/>
    </w:rPr>
  </w:style>
  <w:style w:type="paragraph" w:styleId="Heading5">
    <w:name w:val="heading 5"/>
    <w:basedOn w:val="Normal"/>
    <w:next w:val="Normal"/>
    <w:link w:val="Heading5Char"/>
    <w:uiPriority w:val="9"/>
    <w:unhideWhenUsed/>
    <w:qFormat/>
    <w:rsid w:val="00B7037D"/>
    <w:pPr>
      <w:keepNext/>
      <w:keepLines/>
      <w:numPr>
        <w:ilvl w:val="4"/>
        <w:numId w:val="1"/>
      </w:numPr>
      <w:spacing w:before="200"/>
      <w:outlineLvl w:val="4"/>
    </w:pPr>
    <w:rPr>
      <w:rFonts w:ascii="Cambria" w:hAnsi="Cambria"/>
      <w:color w:val="243F60"/>
      <w:lang w:val="x-none" w:eastAsia="x-none"/>
    </w:rPr>
  </w:style>
  <w:style w:type="paragraph" w:styleId="Heading6">
    <w:name w:val="heading 6"/>
    <w:basedOn w:val="Normal"/>
    <w:next w:val="Normal"/>
    <w:link w:val="Heading6Char"/>
    <w:uiPriority w:val="9"/>
    <w:unhideWhenUsed/>
    <w:qFormat/>
    <w:rsid w:val="00B7037D"/>
    <w:pPr>
      <w:keepNext/>
      <w:keepLines/>
      <w:numPr>
        <w:ilvl w:val="5"/>
        <w:numId w:val="1"/>
      </w:numPr>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
    <w:unhideWhenUsed/>
    <w:qFormat/>
    <w:rsid w:val="00B7037D"/>
    <w:pPr>
      <w:keepNext/>
      <w:keepLines/>
      <w:numPr>
        <w:ilvl w:val="6"/>
        <w:numId w:val="1"/>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
    <w:unhideWhenUsed/>
    <w:qFormat/>
    <w:rsid w:val="00B7037D"/>
    <w:pPr>
      <w:keepNext/>
      <w:keepLines/>
      <w:numPr>
        <w:ilvl w:val="7"/>
        <w:numId w:val="1"/>
      </w:numPr>
      <w:spacing w:before="20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unhideWhenUsed/>
    <w:qFormat/>
    <w:rsid w:val="00B7037D"/>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7037D"/>
    <w:rPr>
      <w:rFonts w:ascii="Arial" w:eastAsia="Times New Roman" w:hAnsi="Arial"/>
      <w:b/>
      <w:bCs/>
      <w:kern w:val="32"/>
      <w:sz w:val="32"/>
      <w:szCs w:val="32"/>
      <w:lang w:val="x-none" w:eastAsia="x-none"/>
    </w:rPr>
  </w:style>
  <w:style w:type="character" w:customStyle="1" w:styleId="Heading2Char">
    <w:name w:val="Heading 2 Char"/>
    <w:link w:val="Heading2"/>
    <w:uiPriority w:val="9"/>
    <w:rsid w:val="00B7037D"/>
    <w:rPr>
      <w:rFonts w:ascii="Arial" w:eastAsia="Times New Roman" w:hAnsi="Arial"/>
      <w:b/>
      <w:bCs/>
      <w:iCs/>
      <w:sz w:val="28"/>
      <w:szCs w:val="28"/>
      <w:lang w:val="x-none" w:eastAsia="x-none"/>
    </w:rPr>
  </w:style>
  <w:style w:type="character" w:customStyle="1" w:styleId="Heading3Char">
    <w:name w:val="Heading 3 Char"/>
    <w:link w:val="Heading3"/>
    <w:uiPriority w:val="9"/>
    <w:rsid w:val="00B7037D"/>
    <w:rPr>
      <w:rFonts w:ascii="Arial" w:eastAsia="Times New Roman" w:hAnsi="Arial"/>
      <w:b/>
      <w:bCs/>
      <w:sz w:val="24"/>
      <w:szCs w:val="26"/>
      <w:lang w:val="x-none" w:eastAsia="x-none"/>
    </w:rPr>
  </w:style>
  <w:style w:type="character" w:customStyle="1" w:styleId="Heading4Char">
    <w:name w:val="Heading 4 Char"/>
    <w:link w:val="Heading4"/>
    <w:uiPriority w:val="9"/>
    <w:rsid w:val="00B7037D"/>
    <w:rPr>
      <w:rFonts w:ascii="Cambria" w:eastAsia="Times New Roman" w:hAnsi="Cambria"/>
      <w:b/>
      <w:i/>
      <w:iCs/>
      <w:sz w:val="24"/>
      <w:szCs w:val="26"/>
      <w:lang w:val="x-none" w:eastAsia="x-none"/>
    </w:rPr>
  </w:style>
  <w:style w:type="character" w:customStyle="1" w:styleId="Heading5Char">
    <w:name w:val="Heading 5 Char"/>
    <w:link w:val="Heading5"/>
    <w:uiPriority w:val="9"/>
    <w:rsid w:val="00B7037D"/>
    <w:rPr>
      <w:rFonts w:ascii="Cambria" w:eastAsia="Times New Roman" w:hAnsi="Cambria"/>
      <w:bCs/>
      <w:color w:val="243F60"/>
      <w:sz w:val="24"/>
      <w:szCs w:val="26"/>
      <w:lang w:val="x-none" w:eastAsia="x-none"/>
    </w:rPr>
  </w:style>
  <w:style w:type="character" w:customStyle="1" w:styleId="Heading6Char">
    <w:name w:val="Heading 6 Char"/>
    <w:link w:val="Heading6"/>
    <w:uiPriority w:val="9"/>
    <w:rsid w:val="00B7037D"/>
    <w:rPr>
      <w:rFonts w:ascii="Cambria" w:eastAsia="Times New Roman" w:hAnsi="Cambria"/>
      <w:bCs/>
      <w:i/>
      <w:iCs/>
      <w:color w:val="243F60"/>
      <w:sz w:val="24"/>
      <w:szCs w:val="26"/>
      <w:lang w:val="x-none" w:eastAsia="x-none"/>
    </w:rPr>
  </w:style>
  <w:style w:type="character" w:customStyle="1" w:styleId="Heading7Char">
    <w:name w:val="Heading 7 Char"/>
    <w:link w:val="Heading7"/>
    <w:uiPriority w:val="9"/>
    <w:rsid w:val="00B7037D"/>
    <w:rPr>
      <w:rFonts w:ascii="Cambria" w:eastAsia="Times New Roman" w:hAnsi="Cambria"/>
      <w:bCs/>
      <w:i/>
      <w:iCs/>
      <w:color w:val="404040"/>
      <w:sz w:val="24"/>
      <w:szCs w:val="26"/>
      <w:lang w:val="x-none" w:eastAsia="x-none"/>
    </w:rPr>
  </w:style>
  <w:style w:type="character" w:customStyle="1" w:styleId="Heading8Char">
    <w:name w:val="Heading 8 Char"/>
    <w:link w:val="Heading8"/>
    <w:uiPriority w:val="9"/>
    <w:rsid w:val="00B7037D"/>
    <w:rPr>
      <w:rFonts w:ascii="Cambria" w:eastAsia="Times New Roman" w:hAnsi="Cambria"/>
      <w:bCs/>
      <w:color w:val="404040"/>
      <w:lang w:val="x-none" w:eastAsia="x-none"/>
    </w:rPr>
  </w:style>
  <w:style w:type="character" w:customStyle="1" w:styleId="Heading9Char">
    <w:name w:val="Heading 9 Char"/>
    <w:link w:val="Heading9"/>
    <w:uiPriority w:val="9"/>
    <w:rsid w:val="00B7037D"/>
    <w:rPr>
      <w:rFonts w:ascii="Cambria" w:eastAsia="Times New Roman" w:hAnsi="Cambria"/>
      <w:bCs/>
      <w:i/>
      <w:iCs/>
      <w:color w:val="404040"/>
      <w:lang w:val="x-none" w:eastAsia="x-none"/>
    </w:rPr>
  </w:style>
  <w:style w:type="paragraph" w:styleId="ListParagraph">
    <w:name w:val="List Paragraph"/>
    <w:basedOn w:val="Normal"/>
    <w:uiPriority w:val="34"/>
    <w:qFormat/>
    <w:rsid w:val="00B7037D"/>
    <w:pPr>
      <w:ind w:left="720"/>
      <w:contextualSpacing/>
    </w:pPr>
  </w:style>
  <w:style w:type="table" w:styleId="TableGrid">
    <w:name w:val="Table Grid"/>
    <w:basedOn w:val="TableNormal"/>
    <w:uiPriority w:val="59"/>
    <w:rsid w:val="00B7037D"/>
    <w:rPr>
      <w:rFonts w:ascii="Arial" w:eastAsia="HGSMinchoE" w:hAnsi="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D3905"/>
    <w:rPr>
      <w:sz w:val="16"/>
      <w:szCs w:val="16"/>
    </w:rPr>
  </w:style>
  <w:style w:type="paragraph" w:styleId="CommentText">
    <w:name w:val="annotation text"/>
    <w:basedOn w:val="Normal"/>
    <w:link w:val="CommentTextChar"/>
    <w:uiPriority w:val="99"/>
    <w:semiHidden/>
    <w:unhideWhenUsed/>
    <w:rsid w:val="00DD3905"/>
    <w:rPr>
      <w:sz w:val="20"/>
      <w:szCs w:val="20"/>
    </w:rPr>
  </w:style>
  <w:style w:type="character" w:customStyle="1" w:styleId="CommentTextChar">
    <w:name w:val="Comment Text Char"/>
    <w:link w:val="CommentText"/>
    <w:uiPriority w:val="99"/>
    <w:semiHidden/>
    <w:rsid w:val="00DD3905"/>
    <w:rPr>
      <w:rFonts w:ascii="Arial" w:eastAsia="Times New Roman" w:hAnsi="Arial"/>
      <w:bCs/>
      <w:lang w:eastAsia="en-US"/>
    </w:rPr>
  </w:style>
  <w:style w:type="paragraph" w:styleId="CommentSubject">
    <w:name w:val="annotation subject"/>
    <w:basedOn w:val="CommentText"/>
    <w:next w:val="CommentText"/>
    <w:link w:val="CommentSubjectChar"/>
    <w:uiPriority w:val="99"/>
    <w:semiHidden/>
    <w:unhideWhenUsed/>
    <w:rsid w:val="00DD3905"/>
    <w:rPr>
      <w:b/>
    </w:rPr>
  </w:style>
  <w:style w:type="character" w:customStyle="1" w:styleId="CommentSubjectChar">
    <w:name w:val="Comment Subject Char"/>
    <w:link w:val="CommentSubject"/>
    <w:uiPriority w:val="99"/>
    <w:semiHidden/>
    <w:rsid w:val="00DD3905"/>
    <w:rPr>
      <w:rFonts w:ascii="Arial" w:eastAsia="Times New Roman" w:hAnsi="Arial"/>
      <w:b/>
      <w:bCs/>
      <w:lang w:eastAsia="en-US"/>
    </w:rPr>
  </w:style>
  <w:style w:type="paragraph" w:styleId="BalloonText">
    <w:name w:val="Balloon Text"/>
    <w:basedOn w:val="Normal"/>
    <w:link w:val="BalloonTextChar"/>
    <w:uiPriority w:val="99"/>
    <w:semiHidden/>
    <w:unhideWhenUsed/>
    <w:rsid w:val="00DD3905"/>
    <w:rPr>
      <w:rFonts w:ascii="Tahoma" w:hAnsi="Tahoma" w:cs="Tahoma"/>
      <w:sz w:val="16"/>
      <w:szCs w:val="16"/>
    </w:rPr>
  </w:style>
  <w:style w:type="character" w:customStyle="1" w:styleId="BalloonTextChar">
    <w:name w:val="Balloon Text Char"/>
    <w:link w:val="BalloonText"/>
    <w:uiPriority w:val="99"/>
    <w:semiHidden/>
    <w:rsid w:val="00DD3905"/>
    <w:rPr>
      <w:rFonts w:ascii="Tahoma" w:eastAsia="Times New Roman" w:hAnsi="Tahoma" w:cs="Tahoma"/>
      <w:bCs/>
      <w:sz w:val="16"/>
      <w:szCs w:val="16"/>
      <w:lang w:eastAsia="en-US"/>
    </w:rPr>
  </w:style>
  <w:style w:type="paragraph" w:styleId="FootnoteText">
    <w:name w:val="footnote text"/>
    <w:basedOn w:val="Normal"/>
    <w:link w:val="FootnoteTextChar"/>
    <w:uiPriority w:val="99"/>
    <w:unhideWhenUsed/>
    <w:rsid w:val="009B651E"/>
    <w:rPr>
      <w:sz w:val="20"/>
      <w:szCs w:val="20"/>
    </w:rPr>
  </w:style>
  <w:style w:type="character" w:customStyle="1" w:styleId="FootnoteTextChar">
    <w:name w:val="Footnote Text Char"/>
    <w:link w:val="FootnoteText"/>
    <w:uiPriority w:val="99"/>
    <w:rsid w:val="009B651E"/>
    <w:rPr>
      <w:rFonts w:ascii="Arial" w:eastAsia="Times New Roman" w:hAnsi="Arial"/>
      <w:bCs/>
      <w:lang w:eastAsia="en-US"/>
    </w:rPr>
  </w:style>
  <w:style w:type="character" w:styleId="FootnoteReference">
    <w:name w:val="footnote reference"/>
    <w:uiPriority w:val="99"/>
    <w:semiHidden/>
    <w:unhideWhenUsed/>
    <w:rsid w:val="009B651E"/>
    <w:rPr>
      <w:vertAlign w:val="superscript"/>
    </w:rPr>
  </w:style>
  <w:style w:type="paragraph" w:styleId="NoSpacing">
    <w:name w:val="No Spacing"/>
    <w:uiPriority w:val="1"/>
    <w:qFormat/>
    <w:rsid w:val="00D96409"/>
    <w:rPr>
      <w:rFonts w:ascii="Arial" w:eastAsia="Times New Roman" w:hAnsi="Arial"/>
      <w:bCs/>
      <w:sz w:val="24"/>
      <w:szCs w:val="26"/>
      <w:lang w:eastAsia="en-US"/>
    </w:rPr>
  </w:style>
  <w:style w:type="table" w:customStyle="1" w:styleId="TableGrid1">
    <w:name w:val="Table Grid1"/>
    <w:basedOn w:val="TableNormal"/>
    <w:next w:val="TableGrid"/>
    <w:uiPriority w:val="59"/>
    <w:rsid w:val="007619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078"/>
    <w:pPr>
      <w:tabs>
        <w:tab w:val="center" w:pos="4513"/>
        <w:tab w:val="right" w:pos="9026"/>
      </w:tabs>
    </w:pPr>
  </w:style>
  <w:style w:type="character" w:customStyle="1" w:styleId="HeaderChar">
    <w:name w:val="Header Char"/>
    <w:link w:val="Header"/>
    <w:uiPriority w:val="99"/>
    <w:rsid w:val="00840078"/>
    <w:rPr>
      <w:rFonts w:ascii="Arial" w:eastAsia="Times New Roman" w:hAnsi="Arial"/>
      <w:bCs/>
      <w:sz w:val="24"/>
      <w:szCs w:val="26"/>
      <w:lang w:eastAsia="en-US"/>
    </w:rPr>
  </w:style>
  <w:style w:type="paragraph" w:styleId="Footer">
    <w:name w:val="footer"/>
    <w:basedOn w:val="Normal"/>
    <w:link w:val="FooterChar"/>
    <w:uiPriority w:val="99"/>
    <w:unhideWhenUsed/>
    <w:rsid w:val="00840078"/>
    <w:pPr>
      <w:tabs>
        <w:tab w:val="center" w:pos="4513"/>
        <w:tab w:val="right" w:pos="9026"/>
      </w:tabs>
    </w:pPr>
  </w:style>
  <w:style w:type="character" w:customStyle="1" w:styleId="FooterChar">
    <w:name w:val="Footer Char"/>
    <w:link w:val="Footer"/>
    <w:uiPriority w:val="99"/>
    <w:rsid w:val="00840078"/>
    <w:rPr>
      <w:rFonts w:ascii="Arial" w:eastAsia="Times New Roman" w:hAnsi="Arial"/>
      <w:bCs/>
      <w:sz w:val="24"/>
      <w:szCs w:val="26"/>
      <w:lang w:eastAsia="en-US"/>
    </w:rPr>
  </w:style>
  <w:style w:type="paragraph" w:styleId="NormalWeb">
    <w:name w:val="Normal (Web)"/>
    <w:basedOn w:val="Normal"/>
    <w:uiPriority w:val="99"/>
    <w:unhideWhenUsed/>
    <w:rsid w:val="002D6839"/>
    <w:pPr>
      <w:spacing w:before="100" w:beforeAutospacing="1" w:after="100" w:afterAutospacing="1"/>
    </w:pPr>
    <w:rPr>
      <w:rFonts w:ascii="Times New Roman" w:hAnsi="Times New Roman"/>
      <w:bCs w:val="0"/>
      <w:szCs w:val="24"/>
    </w:rPr>
  </w:style>
  <w:style w:type="character" w:customStyle="1" w:styleId="apple-converted-space">
    <w:name w:val="apple-converted-space"/>
    <w:rsid w:val="00FE0B7F"/>
  </w:style>
  <w:style w:type="numbering" w:customStyle="1" w:styleId="CurrentList1">
    <w:name w:val="Current List1"/>
    <w:uiPriority w:val="99"/>
    <w:rsid w:val="005D7734"/>
    <w:pPr>
      <w:numPr>
        <w:numId w:val="35"/>
      </w:numPr>
    </w:pPr>
  </w:style>
  <w:style w:type="numbering" w:customStyle="1" w:styleId="CurrentList2">
    <w:name w:val="Current List2"/>
    <w:uiPriority w:val="99"/>
    <w:rsid w:val="005D7734"/>
    <w:pPr>
      <w:numPr>
        <w:numId w:val="37"/>
      </w:numPr>
    </w:pPr>
  </w:style>
  <w:style w:type="paragraph" w:styleId="Revision">
    <w:name w:val="Revision"/>
    <w:hidden/>
    <w:uiPriority w:val="99"/>
    <w:semiHidden/>
    <w:rsid w:val="004B6921"/>
    <w:rPr>
      <w:rFonts w:ascii="Arial" w:eastAsia="Times New Roman" w:hAnsi="Arial"/>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46224">
      <w:bodyDiv w:val="1"/>
      <w:marLeft w:val="0"/>
      <w:marRight w:val="0"/>
      <w:marTop w:val="0"/>
      <w:marBottom w:val="0"/>
      <w:divBdr>
        <w:top w:val="none" w:sz="0" w:space="0" w:color="auto"/>
        <w:left w:val="none" w:sz="0" w:space="0" w:color="auto"/>
        <w:bottom w:val="none" w:sz="0" w:space="0" w:color="auto"/>
        <w:right w:val="none" w:sz="0" w:space="0" w:color="auto"/>
      </w:divBdr>
      <w:divsChild>
        <w:div w:id="1277981821">
          <w:marLeft w:val="0"/>
          <w:marRight w:val="0"/>
          <w:marTop w:val="0"/>
          <w:marBottom w:val="0"/>
          <w:divBdr>
            <w:top w:val="none" w:sz="0" w:space="0" w:color="auto"/>
            <w:left w:val="none" w:sz="0" w:space="0" w:color="auto"/>
            <w:bottom w:val="none" w:sz="0" w:space="0" w:color="auto"/>
            <w:right w:val="none" w:sz="0" w:space="0" w:color="auto"/>
          </w:divBdr>
          <w:divsChild>
            <w:div w:id="1139030412">
              <w:marLeft w:val="0"/>
              <w:marRight w:val="0"/>
              <w:marTop w:val="0"/>
              <w:marBottom w:val="0"/>
              <w:divBdr>
                <w:top w:val="none" w:sz="0" w:space="0" w:color="auto"/>
                <w:left w:val="none" w:sz="0" w:space="0" w:color="auto"/>
                <w:bottom w:val="none" w:sz="0" w:space="0" w:color="auto"/>
                <w:right w:val="none" w:sz="0" w:space="0" w:color="auto"/>
              </w:divBdr>
              <w:divsChild>
                <w:div w:id="1448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5413">
      <w:bodyDiv w:val="1"/>
      <w:marLeft w:val="0"/>
      <w:marRight w:val="0"/>
      <w:marTop w:val="0"/>
      <w:marBottom w:val="0"/>
      <w:divBdr>
        <w:top w:val="none" w:sz="0" w:space="0" w:color="auto"/>
        <w:left w:val="none" w:sz="0" w:space="0" w:color="auto"/>
        <w:bottom w:val="none" w:sz="0" w:space="0" w:color="auto"/>
        <w:right w:val="none" w:sz="0" w:space="0" w:color="auto"/>
      </w:divBdr>
    </w:div>
    <w:div w:id="517735249">
      <w:bodyDiv w:val="1"/>
      <w:marLeft w:val="0"/>
      <w:marRight w:val="0"/>
      <w:marTop w:val="0"/>
      <w:marBottom w:val="0"/>
      <w:divBdr>
        <w:top w:val="none" w:sz="0" w:space="0" w:color="auto"/>
        <w:left w:val="none" w:sz="0" w:space="0" w:color="auto"/>
        <w:bottom w:val="none" w:sz="0" w:space="0" w:color="auto"/>
        <w:right w:val="none" w:sz="0" w:space="0" w:color="auto"/>
      </w:divBdr>
    </w:div>
    <w:div w:id="1040940533">
      <w:bodyDiv w:val="1"/>
      <w:marLeft w:val="0"/>
      <w:marRight w:val="0"/>
      <w:marTop w:val="0"/>
      <w:marBottom w:val="0"/>
      <w:divBdr>
        <w:top w:val="none" w:sz="0" w:space="0" w:color="auto"/>
        <w:left w:val="none" w:sz="0" w:space="0" w:color="auto"/>
        <w:bottom w:val="none" w:sz="0" w:space="0" w:color="auto"/>
        <w:right w:val="none" w:sz="0" w:space="0" w:color="auto"/>
      </w:divBdr>
    </w:div>
    <w:div w:id="1164585318">
      <w:bodyDiv w:val="1"/>
      <w:marLeft w:val="0"/>
      <w:marRight w:val="0"/>
      <w:marTop w:val="0"/>
      <w:marBottom w:val="0"/>
      <w:divBdr>
        <w:top w:val="none" w:sz="0" w:space="0" w:color="auto"/>
        <w:left w:val="none" w:sz="0" w:space="0" w:color="auto"/>
        <w:bottom w:val="none" w:sz="0" w:space="0" w:color="auto"/>
        <w:right w:val="none" w:sz="0" w:space="0" w:color="auto"/>
      </w:divBdr>
      <w:divsChild>
        <w:div w:id="689792869">
          <w:marLeft w:val="0"/>
          <w:marRight w:val="0"/>
          <w:marTop w:val="0"/>
          <w:marBottom w:val="0"/>
          <w:divBdr>
            <w:top w:val="none" w:sz="0" w:space="0" w:color="auto"/>
            <w:left w:val="none" w:sz="0" w:space="0" w:color="auto"/>
            <w:bottom w:val="none" w:sz="0" w:space="0" w:color="auto"/>
            <w:right w:val="none" w:sz="0" w:space="0" w:color="auto"/>
          </w:divBdr>
          <w:divsChild>
            <w:div w:id="2063675747">
              <w:marLeft w:val="0"/>
              <w:marRight w:val="0"/>
              <w:marTop w:val="0"/>
              <w:marBottom w:val="0"/>
              <w:divBdr>
                <w:top w:val="none" w:sz="0" w:space="0" w:color="auto"/>
                <w:left w:val="none" w:sz="0" w:space="0" w:color="auto"/>
                <w:bottom w:val="none" w:sz="0" w:space="0" w:color="auto"/>
                <w:right w:val="none" w:sz="0" w:space="0" w:color="auto"/>
              </w:divBdr>
              <w:divsChild>
                <w:div w:id="9573224">
                  <w:marLeft w:val="0"/>
                  <w:marRight w:val="0"/>
                  <w:marTop w:val="0"/>
                  <w:marBottom w:val="0"/>
                  <w:divBdr>
                    <w:top w:val="none" w:sz="0" w:space="0" w:color="auto"/>
                    <w:left w:val="none" w:sz="0" w:space="0" w:color="auto"/>
                    <w:bottom w:val="none" w:sz="0" w:space="0" w:color="auto"/>
                    <w:right w:val="none" w:sz="0" w:space="0" w:color="auto"/>
                  </w:divBdr>
                  <w:divsChild>
                    <w:div w:id="14857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0FCB4CBA62C804FAD9CB4CD00433118" ma:contentTypeVersion="4" ma:contentTypeDescription="Create a new document." ma:contentTypeScope="" ma:versionID="89e9676d78024e6df5f9f904ede4a3fd">
  <xsd:schema xmlns:xsd="http://www.w3.org/2001/XMLSchema" xmlns:xs="http://www.w3.org/2001/XMLSchema" xmlns:p="http://schemas.microsoft.com/office/2006/metadata/properties" xmlns:ns2="cccaf3ac-2de9-44d4-aa31-54302fceb5f7" xmlns:ns3="51367701-27c8-403e-a234-85855c5cd73e" targetNamespace="http://schemas.microsoft.com/office/2006/metadata/properties" ma:root="true" ma:fieldsID="943ce7108c6cbc857d6d2968a1ec2c8f" ns2:_="" ns3:_="">
    <xsd:import namespace="cccaf3ac-2de9-44d4-aa31-54302fceb5f7"/>
    <xsd:import namespace="51367701-27c8-403e-a234-85855c5cd73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CA2D-978A-4D42-8A21-3197DE61D4FA}">
  <ds:schemaRefs>
    <ds:schemaRef ds:uri="http://schemas.microsoft.com/sharepoint/events"/>
  </ds:schemaRefs>
</ds:datastoreItem>
</file>

<file path=customXml/itemProps2.xml><?xml version="1.0" encoding="utf-8"?>
<ds:datastoreItem xmlns:ds="http://schemas.openxmlformats.org/officeDocument/2006/customXml" ds:itemID="{8F4F3F2D-A408-483E-B70C-50294FCA9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f3ac-2de9-44d4-aa31-54302fceb5f7"/>
    <ds:schemaRef ds:uri="51367701-27c8-403e-a234-85855c5cd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0D43-048E-4D09-9259-A4A92D4584B3}">
  <ds:schemaRefs>
    <ds:schemaRef ds:uri="http://schemas.microsoft.com/sharepoint/v3/contenttype/forms"/>
  </ds:schemaRefs>
</ds:datastoreItem>
</file>

<file path=customXml/itemProps4.xml><?xml version="1.0" encoding="utf-8"?>
<ds:datastoreItem xmlns:ds="http://schemas.openxmlformats.org/officeDocument/2006/customXml" ds:itemID="{1425296F-E44F-4701-BA5C-7EB59EF5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9354</Words>
  <Characters>53323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Daly</dc:creator>
  <cp:keywords/>
  <cp:lastModifiedBy>LORD, Rachel (NHS ENGLAND - X24)</cp:lastModifiedBy>
  <cp:revision>7</cp:revision>
  <cp:lastPrinted>2018-08-03T22:10:00Z</cp:lastPrinted>
  <dcterms:created xsi:type="dcterms:W3CDTF">2024-10-14T09:32:00Z</dcterms:created>
  <dcterms:modified xsi:type="dcterms:W3CDTF">2024-10-14T10:01:00Z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0x010100C0FCB4CBA62C804FAD9CB4CD00433118</vt:lpwstr>
  </property>
  <property fmtid="{D5CDD505-2E9C-101B-9397-08002B2CF9AE}" pid="3" name="_dlc_DocIdItemGuid">
    <vt:lpwstr>25a32e77-f1a4-42ed-96c2-c2630912db6b</vt:lpwstr>
  </property>
  <property fmtid="{D5CDD505-2E9C-101B-9397-08002B2CF9AE}" pid="4" name="_dlc_DocId">
    <vt:lpwstr>K57F673QWXRZ-1604921514-20</vt:lpwstr>
  </property>
  <property fmtid="{D5CDD505-2E9C-101B-9397-08002B2CF9AE}" pid="5" name="_dlc_DocIdUrl">
    <vt:lpwstr>https://nhsengland.sharepoint.com/TeamCentre/Operations/SpecialisedCommissioning/TWA/PMO/coredata/_layouts/15/DocIdRedir.aspx?ID=K57F673QWXRZ-1604921514-20, K57F673QWXRZ-1604921514-20</vt:lpwstr>
  </property>
</Properties>
</file>