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Arial" w:eastAsiaTheme="minorHAnsi" w:hAnsi="Arial" w:cs="Arial"/>
          <w:spacing w:val="0"/>
          <w:kern w:val="0"/>
          <w:sz w:val="18"/>
          <w:szCs w:val="18"/>
        </w:rPr>
        <w:id w:val="-1373387527"/>
        <w:docPartObj>
          <w:docPartGallery w:val="Table of Contents"/>
          <w:docPartUnique/>
        </w:docPartObj>
      </w:sdtPr>
      <w:sdtEndPr>
        <w:rPr>
          <w:rFonts w:eastAsia="Times New Roman"/>
          <w:noProof/>
          <w:sz w:val="22"/>
          <w:szCs w:val="22"/>
        </w:rPr>
      </w:sdtEndPr>
      <w:sdtContent>
        <w:p w14:paraId="738F099A" w14:textId="77777777" w:rsidR="004A04C9" w:rsidRPr="004A04C9" w:rsidRDefault="004A04C9" w:rsidP="004A04C9">
          <w:pPr>
            <w:pStyle w:val="Title"/>
            <w:rPr>
              <w:sz w:val="48"/>
              <w:szCs w:val="48"/>
            </w:rPr>
          </w:pPr>
          <w:r w:rsidRPr="004A04C9">
            <w:rPr>
              <w:sz w:val="48"/>
              <w:szCs w:val="48"/>
            </w:rPr>
            <w:t>Annex A</w:t>
          </w:r>
        </w:p>
        <w:p w14:paraId="67D46D5F" w14:textId="51704CA2" w:rsidR="004A04C9" w:rsidRPr="004A04C9" w:rsidRDefault="004A04C9" w:rsidP="00922DBC">
          <w:pPr>
            <w:pStyle w:val="Title"/>
            <w:rPr>
              <w:sz w:val="40"/>
              <w:szCs w:val="40"/>
            </w:rPr>
          </w:pPr>
          <w:r w:rsidRPr="004A04C9">
            <w:rPr>
              <w:sz w:val="40"/>
              <w:szCs w:val="40"/>
            </w:rPr>
            <w:t>Specialised Neurology Service Specification</w:t>
          </w:r>
        </w:p>
        <w:p w14:paraId="2F9F1F4F" w14:textId="2AE02E92" w:rsidR="004A04C9" w:rsidRPr="004A04C9" w:rsidRDefault="004A04C9" w:rsidP="00922DBC">
          <w:pPr>
            <w:pStyle w:val="Title"/>
            <w:rPr>
              <w:sz w:val="40"/>
              <w:szCs w:val="40"/>
            </w:rPr>
          </w:pPr>
          <w:r w:rsidRPr="004A04C9">
            <w:rPr>
              <w:sz w:val="40"/>
              <w:szCs w:val="40"/>
            </w:rPr>
            <w:t>Minimum Service</w:t>
          </w:r>
          <w:r w:rsidR="0010595E">
            <w:rPr>
              <w:sz w:val="40"/>
              <w:szCs w:val="40"/>
            </w:rPr>
            <w:t xml:space="preserve"> Level</w:t>
          </w:r>
          <w:r w:rsidR="008734B8">
            <w:rPr>
              <w:sz w:val="40"/>
              <w:szCs w:val="40"/>
            </w:rPr>
            <w:t>s</w:t>
          </w:r>
          <w:r w:rsidR="0010595E">
            <w:rPr>
              <w:sz w:val="40"/>
              <w:szCs w:val="40"/>
            </w:rPr>
            <w:t xml:space="preserve"> </w:t>
          </w:r>
          <w:r w:rsidRPr="004A04C9">
            <w:rPr>
              <w:sz w:val="40"/>
              <w:szCs w:val="40"/>
            </w:rPr>
            <w:t>for Neurology Subspecialties</w:t>
          </w:r>
        </w:p>
        <w:p w14:paraId="7C64612A" w14:textId="77777777" w:rsidR="004A04C9" w:rsidRPr="004A04C9" w:rsidRDefault="004A04C9" w:rsidP="004A04C9">
          <w:pPr>
            <w:rPr>
              <w:rFonts w:eastAsiaTheme="minorHAnsi"/>
            </w:rPr>
          </w:pPr>
        </w:p>
        <w:p w14:paraId="3F978939" w14:textId="0680DCEA" w:rsidR="0057131D" w:rsidRDefault="0057131D" w:rsidP="00922DBC">
          <w:pPr>
            <w:pStyle w:val="Title"/>
          </w:pPr>
          <w:r w:rsidRPr="0062356B">
            <w:t>Contents</w:t>
          </w:r>
        </w:p>
        <w:p w14:paraId="590137E1" w14:textId="77777777" w:rsidR="004A04C9" w:rsidRPr="004A04C9" w:rsidRDefault="004A04C9" w:rsidP="004A04C9"/>
        <w:p w14:paraId="412A49D6" w14:textId="2B5AF431" w:rsidR="00837DC5" w:rsidRDefault="009002AD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bidi="ta-LK"/>
              <w14:ligatures w14:val="standardContextual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83522785" w:history="1">
            <w:r w:rsidR="00837DC5" w:rsidRPr="00DF1CAF">
              <w:rPr>
                <w:rStyle w:val="Hyperlink"/>
                <w:noProof/>
              </w:rPr>
              <w:t>Minimum services for neurology subspecialties</w:t>
            </w:r>
            <w:r w:rsidR="00837DC5">
              <w:rPr>
                <w:noProof/>
                <w:webHidden/>
              </w:rPr>
              <w:tab/>
            </w:r>
            <w:r w:rsidR="00837DC5">
              <w:rPr>
                <w:noProof/>
                <w:webHidden/>
              </w:rPr>
              <w:fldChar w:fldCharType="begin"/>
            </w:r>
            <w:r w:rsidR="00837DC5">
              <w:rPr>
                <w:noProof/>
                <w:webHidden/>
              </w:rPr>
              <w:instrText xml:space="preserve"> PAGEREF _Toc183522785 \h </w:instrText>
            </w:r>
            <w:r w:rsidR="00837DC5">
              <w:rPr>
                <w:noProof/>
                <w:webHidden/>
              </w:rPr>
            </w:r>
            <w:r w:rsidR="00837DC5">
              <w:rPr>
                <w:noProof/>
                <w:webHidden/>
              </w:rPr>
              <w:fldChar w:fldCharType="separate"/>
            </w:r>
            <w:r w:rsidR="00072FEB">
              <w:rPr>
                <w:noProof/>
                <w:webHidden/>
              </w:rPr>
              <w:t>2</w:t>
            </w:r>
            <w:r w:rsidR="00837DC5">
              <w:rPr>
                <w:noProof/>
                <w:webHidden/>
              </w:rPr>
              <w:fldChar w:fldCharType="end"/>
            </w:r>
          </w:hyperlink>
        </w:p>
        <w:p w14:paraId="0E5F699E" w14:textId="5F9AC220" w:rsidR="00837DC5" w:rsidRDefault="00837DC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bidi="ta-LK"/>
              <w14:ligatures w14:val="standardContextual"/>
            </w:rPr>
          </w:pPr>
          <w:hyperlink w:anchor="_Toc183522786" w:history="1">
            <w:r w:rsidRPr="00DF1CAF">
              <w:rPr>
                <w:rStyle w:val="Hyperlink"/>
                <w:noProof/>
              </w:rPr>
              <w:t>Epilepsy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_Toc183522786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2FE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6381D3" w14:textId="099C2B9C" w:rsidR="00837DC5" w:rsidRDefault="00837DC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bidi="ta-LK"/>
              <w14:ligatures w14:val="standardContextual"/>
            </w:rPr>
          </w:pPr>
          <w:hyperlink w:anchor="_Toc183522787" w:history="1">
            <w:r w:rsidRPr="00DF1CAF">
              <w:rPr>
                <w:rStyle w:val="Hyperlink"/>
                <w:noProof/>
              </w:rPr>
              <w:t>Movement Disorders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_Toc183522787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2FE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787B07" w14:textId="42C4AAAC" w:rsidR="00837DC5" w:rsidRDefault="00837DC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bidi="ta-LK"/>
              <w14:ligatures w14:val="standardContextual"/>
            </w:rPr>
          </w:pPr>
          <w:hyperlink w:anchor="_Toc183522788" w:history="1">
            <w:r w:rsidRPr="00DF1CAF">
              <w:rPr>
                <w:rStyle w:val="Hyperlink"/>
                <w:noProof/>
              </w:rPr>
              <w:t>MS &amp; CNS Neuroinflammation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_Toc183522788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2FE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14B3A7" w14:textId="400E3D86" w:rsidR="00837DC5" w:rsidRDefault="00837DC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bidi="ta-LK"/>
              <w14:ligatures w14:val="standardContextual"/>
            </w:rPr>
          </w:pPr>
          <w:hyperlink w:anchor="_Toc183522789" w:history="1">
            <w:r w:rsidRPr="00DF1CAF">
              <w:rPr>
                <w:rStyle w:val="Hyperlink"/>
                <w:noProof/>
              </w:rPr>
              <w:t>Neuromuscular Disorders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_Toc183522789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2FE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3CEE1A" w14:textId="47ED0729" w:rsidR="00837DC5" w:rsidRDefault="00837DC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bidi="ta-LK"/>
              <w14:ligatures w14:val="standardContextual"/>
            </w:rPr>
          </w:pPr>
          <w:hyperlink w:anchor="_Toc183522790" w:history="1">
            <w:r w:rsidRPr="00DF1CAF">
              <w:rPr>
                <w:rStyle w:val="Hyperlink"/>
                <w:noProof/>
              </w:rPr>
              <w:t>Functional Neurological Disorders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_Toc183522790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2FE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872C84" w14:textId="1A26208B" w:rsidR="00837DC5" w:rsidRDefault="00837DC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bidi="ta-LK"/>
              <w14:ligatures w14:val="standardContextual"/>
            </w:rPr>
          </w:pPr>
          <w:hyperlink w:anchor="_Toc183522791" w:history="1">
            <w:r w:rsidRPr="00DF1CAF">
              <w:rPr>
                <w:rStyle w:val="Hyperlink"/>
                <w:noProof/>
              </w:rPr>
              <w:t>Cognitive Neurology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_Toc183522791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2FEB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C3B253" w14:textId="04C67C04" w:rsidR="00837DC5" w:rsidRDefault="00837DC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bidi="ta-LK"/>
              <w14:ligatures w14:val="standardContextual"/>
            </w:rPr>
          </w:pPr>
          <w:hyperlink w:anchor="_Toc183522792" w:history="1">
            <w:r w:rsidRPr="00DF1CAF">
              <w:rPr>
                <w:rStyle w:val="Hyperlink"/>
                <w:noProof/>
              </w:rPr>
              <w:t>Headache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_Toc183522792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2FEB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3FCE8" w14:textId="78045773" w:rsidR="0057131D" w:rsidRPr="0062356B" w:rsidRDefault="009002AD" w:rsidP="00922DBC">
          <w:r>
            <w:fldChar w:fldCharType="end"/>
          </w:r>
        </w:p>
      </w:sdtContent>
    </w:sdt>
    <w:p w14:paraId="645E91B4" w14:textId="1A67204B" w:rsidR="00922DBC" w:rsidRPr="00922DBC" w:rsidRDefault="00922DBC" w:rsidP="00922DBC">
      <w:pPr>
        <w:pStyle w:val="Heading1"/>
        <w:rPr>
          <w:rStyle w:val="Heading1Char"/>
          <w:b/>
        </w:rPr>
      </w:pPr>
    </w:p>
    <w:p w14:paraId="4F66D07D" w14:textId="77777777" w:rsidR="00922DBC" w:rsidRDefault="00922DBC">
      <w:pPr>
        <w:spacing w:after="160" w:line="259" w:lineRule="auto"/>
        <w:textAlignment w:val="auto"/>
        <w:rPr>
          <w:rStyle w:val="Heading1Char"/>
        </w:rPr>
      </w:pPr>
      <w:r>
        <w:rPr>
          <w:rStyle w:val="Heading1Char"/>
          <w:b w:val="0"/>
        </w:rPr>
        <w:br w:type="page"/>
      </w:r>
    </w:p>
    <w:p w14:paraId="64ED4305" w14:textId="6D7EABA3" w:rsidR="00922DBC" w:rsidRDefault="00922DBC" w:rsidP="00EE4C5F">
      <w:pPr>
        <w:pStyle w:val="Heading1"/>
      </w:pPr>
      <w:bookmarkStart w:id="0" w:name="_Toc183522785"/>
      <w:r>
        <w:lastRenderedPageBreak/>
        <w:t>Minimum service</w:t>
      </w:r>
      <w:r w:rsidR="008734B8">
        <w:t xml:space="preserve"> levels</w:t>
      </w:r>
      <w:r w:rsidR="00EE4C5F">
        <w:t xml:space="preserve"> for neurology subspecialties</w:t>
      </w:r>
      <w:bookmarkEnd w:id="0"/>
    </w:p>
    <w:p w14:paraId="6D52C863" w14:textId="1E73E360" w:rsidR="00527C38" w:rsidRDefault="00527C38">
      <w:pPr>
        <w:spacing w:after="160" w:line="259" w:lineRule="auto"/>
        <w:textAlignment w:val="auto"/>
      </w:pPr>
      <w:r w:rsidRPr="00527C38">
        <w:t xml:space="preserve">Care for </w:t>
      </w:r>
      <w:r w:rsidR="005C7749">
        <w:t xml:space="preserve">people with </w:t>
      </w:r>
      <w:r w:rsidR="002E78EF">
        <w:t xml:space="preserve">most </w:t>
      </w:r>
      <w:r w:rsidRPr="00527C38">
        <w:t xml:space="preserve">neurological conditions </w:t>
      </w:r>
      <w:r w:rsidR="005C7749">
        <w:t xml:space="preserve">is </w:t>
      </w:r>
      <w:r w:rsidR="002E78EF">
        <w:t>delivered</w:t>
      </w:r>
      <w:r w:rsidR="005C7749">
        <w:t xml:space="preserve"> </w:t>
      </w:r>
      <w:r w:rsidR="002E78EF">
        <w:t>through</w:t>
      </w:r>
      <w:r w:rsidR="00D83377">
        <w:t xml:space="preserve"> </w:t>
      </w:r>
      <w:r w:rsidR="002E78EF">
        <w:t xml:space="preserve">ICS-commissioned core neurology services in </w:t>
      </w:r>
      <w:r w:rsidRPr="00527C38">
        <w:t xml:space="preserve">primary, community, </w:t>
      </w:r>
      <w:r w:rsidR="002E78EF">
        <w:t xml:space="preserve">and </w:t>
      </w:r>
      <w:r w:rsidRPr="00527C38">
        <w:t>secondary</w:t>
      </w:r>
      <w:r w:rsidR="002E78EF">
        <w:t xml:space="preserve"> care settings. Many </w:t>
      </w:r>
      <w:r w:rsidRPr="00527C38">
        <w:t xml:space="preserve">patients will </w:t>
      </w:r>
      <w:r>
        <w:t xml:space="preserve">also </w:t>
      </w:r>
      <w:r w:rsidRPr="00527C38">
        <w:t>require tertiary care from speciali</w:t>
      </w:r>
      <w:r w:rsidR="00581E9B">
        <w:t>s</w:t>
      </w:r>
      <w:r w:rsidRPr="00527C38">
        <w:t xml:space="preserve">ed neurology services, </w:t>
      </w:r>
      <w:r w:rsidR="00581E9B">
        <w:t xml:space="preserve">which should interface </w:t>
      </w:r>
      <w:r w:rsidR="007C113A">
        <w:t>smoothly</w:t>
      </w:r>
      <w:r w:rsidR="00892EF0">
        <w:t xml:space="preserve"> with </w:t>
      </w:r>
      <w:r w:rsidRPr="00527C38">
        <w:t>core neurology services</w:t>
      </w:r>
      <w:r w:rsidR="002E78EF">
        <w:t>.</w:t>
      </w:r>
    </w:p>
    <w:p w14:paraId="54787079" w14:textId="4A9DA3CC" w:rsidR="006B03EF" w:rsidRDefault="00581E9B">
      <w:pPr>
        <w:spacing w:after="160" w:line="259" w:lineRule="auto"/>
        <w:textAlignment w:val="auto"/>
      </w:pPr>
      <w:r w:rsidRPr="00581E9B">
        <w:t xml:space="preserve">This annex outlines the neurology services that should be available at the secondary care level within </w:t>
      </w:r>
      <w:r w:rsidR="002E78EF">
        <w:t>each</w:t>
      </w:r>
      <w:r w:rsidRPr="00581E9B">
        <w:t xml:space="preserve"> ICS,</w:t>
      </w:r>
      <w:r w:rsidR="0049211C">
        <w:t xml:space="preserve"> </w:t>
      </w:r>
      <w:r w:rsidR="002A68F1">
        <w:t xml:space="preserve">i.e. </w:t>
      </w:r>
      <w:r w:rsidR="0049211C">
        <w:t xml:space="preserve">they should be </w:t>
      </w:r>
      <w:r w:rsidR="006B03EF">
        <w:t xml:space="preserve">accessible </w:t>
      </w:r>
      <w:r w:rsidR="0049211C">
        <w:t xml:space="preserve">through non-specialist units in District General Hospitals as well as being available at Specialised Neurology Centres. </w:t>
      </w:r>
    </w:p>
    <w:p w14:paraId="6703A571" w14:textId="549368E5" w:rsidR="00581E9B" w:rsidRDefault="006B03EF" w:rsidP="00BA1217">
      <w:pPr>
        <w:spacing w:after="160" w:line="259" w:lineRule="auto"/>
        <w:textAlignment w:val="auto"/>
      </w:pPr>
      <w:r w:rsidRPr="006B03EF">
        <w:t xml:space="preserve">In this document, "local care" refers to care pathways available within </w:t>
      </w:r>
      <w:r w:rsidR="00EB64CD">
        <w:t>an</w:t>
      </w:r>
      <w:r w:rsidRPr="006B03EF">
        <w:t xml:space="preserve"> ICS. These pathways may be provided at </w:t>
      </w:r>
      <w:r w:rsidR="00EB64CD">
        <w:t xml:space="preserve">each </w:t>
      </w:r>
      <w:r w:rsidRPr="006B03EF">
        <w:t>individual neurology unit or shared among several units, depending on local service collaborations.</w:t>
      </w:r>
      <w:r>
        <w:t xml:space="preserve"> Whatever the local organisation of services, a</w:t>
      </w:r>
      <w:r w:rsidRPr="006B03EF">
        <w:t>ll patients within an ICS should have equitable access to the described local services within their ICS footprint.</w:t>
      </w:r>
      <w:r w:rsidR="00BA1217">
        <w:t xml:space="preserve"> </w:t>
      </w:r>
      <w:r w:rsidR="0049211C">
        <w:t xml:space="preserve">The annex additionally describes neurology services that </w:t>
      </w:r>
      <w:r w:rsidR="00892EF0">
        <w:t>must</w:t>
      </w:r>
      <w:r w:rsidR="00581E9B" w:rsidRPr="00581E9B">
        <w:t xml:space="preserve"> be available at Specialised Neurology Centres for subspecialty services</w:t>
      </w:r>
      <w:r w:rsidR="0049211C">
        <w:t>,</w:t>
      </w:r>
      <w:r w:rsidR="00581E9B" w:rsidRPr="00581E9B">
        <w:t xml:space="preserve"> as per the Specialised Neurology Service Specification.</w:t>
      </w:r>
    </w:p>
    <w:p w14:paraId="7D96439B" w14:textId="59427EB4" w:rsidR="00EE4C5F" w:rsidRDefault="00EE4C5F" w:rsidP="00D83377">
      <w:pPr>
        <w:pStyle w:val="Heading3"/>
      </w:pPr>
      <w:r>
        <w:t>Interaction with mental health services</w:t>
      </w:r>
    </w:p>
    <w:p w14:paraId="340AC948" w14:textId="593362F6" w:rsidR="002E78EF" w:rsidRDefault="00527C38" w:rsidP="00F85E08">
      <w:r w:rsidRPr="00527C38">
        <w:t>Neurological conditions often present with cognitive, emotional and behavio</w:t>
      </w:r>
      <w:r>
        <w:t>u</w:t>
      </w:r>
      <w:r w:rsidRPr="00527C38">
        <w:t xml:space="preserve">ral symptoms </w:t>
      </w:r>
      <w:r w:rsidR="002E78EF">
        <w:t>usually</w:t>
      </w:r>
      <w:r w:rsidRPr="00527C38">
        <w:t xml:space="preserve"> </w:t>
      </w:r>
      <w:r w:rsidR="002E78EF">
        <w:t xml:space="preserve">treated </w:t>
      </w:r>
      <w:r w:rsidRPr="00527C38">
        <w:t xml:space="preserve">by </w:t>
      </w:r>
      <w:r w:rsidR="002D49E9">
        <w:t>mental health</w:t>
      </w:r>
      <w:r>
        <w:t xml:space="preserve"> services</w:t>
      </w:r>
      <w:r w:rsidRPr="00527C38">
        <w:t>.</w:t>
      </w:r>
      <w:r w:rsidR="00581E9B">
        <w:t xml:space="preserve"> </w:t>
      </w:r>
      <w:r w:rsidR="00581E9B" w:rsidRPr="00527C38">
        <w:t>All patients should have access to mental health assessment and treatment through local pathways.</w:t>
      </w:r>
      <w:r w:rsidR="002D49E9">
        <w:t xml:space="preserve"> </w:t>
      </w:r>
      <w:r w:rsidR="00F85E08">
        <w:t xml:space="preserve">As per national guidance, all </w:t>
      </w:r>
      <w:r w:rsidR="00F85E08" w:rsidRPr="008778AF">
        <w:t xml:space="preserve">mental health services should be </w:t>
      </w:r>
      <w:r w:rsidR="005C7749">
        <w:t>available</w:t>
      </w:r>
      <w:r w:rsidR="00F85E08" w:rsidRPr="008778AF">
        <w:t xml:space="preserve"> based on need and </w:t>
      </w:r>
      <w:r w:rsidR="005C7749">
        <w:t>cann</w:t>
      </w:r>
      <w:r w:rsidR="00F85E08" w:rsidRPr="008778AF">
        <w:t xml:space="preserve">ot exclude </w:t>
      </w:r>
      <w:r w:rsidR="005C7749">
        <w:t>people</w:t>
      </w:r>
      <w:r w:rsidR="00F85E08" w:rsidRPr="008778AF">
        <w:t xml:space="preserve"> because of a particular physical health or neurological diagnosis. </w:t>
      </w:r>
    </w:p>
    <w:p w14:paraId="49A78307" w14:textId="185ADAD9" w:rsidR="00527C38" w:rsidRPr="00527C38" w:rsidRDefault="002E78EF" w:rsidP="00581E9B">
      <w:r>
        <w:t xml:space="preserve">Patients should have </w:t>
      </w:r>
      <w:r w:rsidR="00F85E08">
        <w:t>access to specialist mental health expertise (neuropsychiatry and neuropsychology) where necessary</w:t>
      </w:r>
      <w:r w:rsidR="005C7749">
        <w:t xml:space="preserve"> for all conditions described below</w:t>
      </w:r>
      <w:r w:rsidR="00F85E08">
        <w:t xml:space="preserve">. </w:t>
      </w:r>
      <w:r w:rsidR="00527C38">
        <w:t>Where there are s</w:t>
      </w:r>
      <w:r w:rsidR="00527C38" w:rsidRPr="00527C38">
        <w:t xml:space="preserve">pecific </w:t>
      </w:r>
      <w:r w:rsidR="002D49E9">
        <w:t>mental health</w:t>
      </w:r>
      <w:r w:rsidR="00527C38" w:rsidRPr="00527C38">
        <w:t xml:space="preserve"> </w:t>
      </w:r>
      <w:r w:rsidR="00527C38">
        <w:t xml:space="preserve">support </w:t>
      </w:r>
      <w:r w:rsidR="00527C38" w:rsidRPr="00527C38">
        <w:t>needs for certain neurological condition</w:t>
      </w:r>
      <w:r w:rsidR="00527C38">
        <w:t xml:space="preserve"> groups</w:t>
      </w:r>
      <w:r w:rsidR="00527C38" w:rsidRPr="00527C38">
        <w:t xml:space="preserve"> </w:t>
      </w:r>
      <w:r w:rsidR="00527C38">
        <w:t xml:space="preserve">these </w:t>
      </w:r>
      <w:r w:rsidR="00527C38" w:rsidRPr="00527C38">
        <w:t xml:space="preserve">are </w:t>
      </w:r>
      <w:r w:rsidR="00581E9B">
        <w:t>highlighted in this annex.</w:t>
      </w:r>
    </w:p>
    <w:p w14:paraId="2CB01BA3" w14:textId="77777777" w:rsidR="00EE4C5F" w:rsidRDefault="00EE4C5F" w:rsidP="00D83377">
      <w:pPr>
        <w:pStyle w:val="Heading3"/>
      </w:pPr>
      <w:r>
        <w:t>Interaction with community neurotherapy services</w:t>
      </w:r>
    </w:p>
    <w:p w14:paraId="7F240BE1" w14:textId="4B8ECE4C" w:rsidR="00972CE3" w:rsidRDefault="00527C38" w:rsidP="00581E9B">
      <w:pPr>
        <w:spacing w:after="160" w:line="259" w:lineRule="auto"/>
        <w:textAlignment w:val="auto"/>
      </w:pPr>
      <w:r w:rsidRPr="00527C38">
        <w:t xml:space="preserve">Many neurological conditions </w:t>
      </w:r>
      <w:r>
        <w:t>are associated with</w:t>
      </w:r>
      <w:r w:rsidRPr="00527C38">
        <w:t xml:space="preserve"> static or progressive </w:t>
      </w:r>
      <w:proofErr w:type="spellStart"/>
      <w:r w:rsidRPr="00527C38">
        <w:t>neurodisability</w:t>
      </w:r>
      <w:proofErr w:type="spellEnd"/>
      <w:r w:rsidRPr="00527C38">
        <w:t>.</w:t>
      </w:r>
      <w:r w:rsidR="00581E9B">
        <w:t xml:space="preserve"> </w:t>
      </w:r>
      <w:r w:rsidR="00972CE3">
        <w:t>Comprehensive support from m</w:t>
      </w:r>
      <w:r>
        <w:t>ultiprofessional</w:t>
      </w:r>
      <w:r w:rsidR="00972CE3">
        <w:t>, multidisciplinary</w:t>
      </w:r>
      <w:r>
        <w:t xml:space="preserve"> c</w:t>
      </w:r>
      <w:r w:rsidRPr="00527C38">
        <w:t xml:space="preserve">ommunity services </w:t>
      </w:r>
      <w:r w:rsidR="00581E9B">
        <w:t xml:space="preserve">is </w:t>
      </w:r>
      <w:r w:rsidR="00056F71">
        <w:t xml:space="preserve">required </w:t>
      </w:r>
      <w:r>
        <w:t xml:space="preserve">for </w:t>
      </w:r>
      <w:r w:rsidR="0076459B">
        <w:t>rehabilitation,</w:t>
      </w:r>
      <w:r w:rsidR="0076459B" w:rsidRPr="0076459B">
        <w:t xml:space="preserve"> </w:t>
      </w:r>
      <w:r w:rsidR="0076459B" w:rsidRPr="00527C38">
        <w:t>reablement, disability management</w:t>
      </w:r>
      <w:r w:rsidR="0076459B">
        <w:t xml:space="preserve"> </w:t>
      </w:r>
      <w:r w:rsidR="0076459B" w:rsidRPr="00527C38">
        <w:t>and end-of-life care</w:t>
      </w:r>
      <w:r w:rsidR="00972CE3">
        <w:t>. This includes the provision of appropriate equipment, orthotics, assistive technology services, alternative and augmentative communication (AAC) services and wheelchair services. They also serve as a key interface with social care services.</w:t>
      </w:r>
    </w:p>
    <w:p w14:paraId="19AB6D23" w14:textId="1A9152CF" w:rsidR="00922DBC" w:rsidRDefault="002E78EF">
      <w:pPr>
        <w:spacing w:after="160" w:line="259" w:lineRule="auto"/>
        <w:textAlignment w:val="auto"/>
      </w:pPr>
      <w:r>
        <w:t xml:space="preserve">Secondary and tertiary neurology services should </w:t>
      </w:r>
      <w:r w:rsidR="00972CE3">
        <w:t xml:space="preserve">work closely </w:t>
      </w:r>
      <w:r>
        <w:t xml:space="preserve">with community services to provide seamless care. </w:t>
      </w:r>
      <w:r w:rsidR="00922DBC">
        <w:br w:type="page"/>
      </w:r>
    </w:p>
    <w:p w14:paraId="47F6FB21" w14:textId="59825A43" w:rsidR="0057131D" w:rsidRPr="0062356B" w:rsidRDefault="0057131D" w:rsidP="00922DBC">
      <w:pPr>
        <w:pStyle w:val="Heading1"/>
      </w:pPr>
      <w:r w:rsidRPr="00922DBC">
        <w:lastRenderedPageBreak/>
        <w:t xml:space="preserve"> </w:t>
      </w:r>
      <w:bookmarkStart w:id="1" w:name="_Toc183522786"/>
      <w:r w:rsidRPr="00922DBC">
        <w:t>Epilepsy service</w:t>
      </w:r>
      <w:r w:rsidR="0062356B" w:rsidRPr="00922DBC">
        <w:t>s</w:t>
      </w:r>
      <w:bookmarkEnd w:id="1"/>
      <w:r w:rsidRPr="0062356B">
        <w:t xml:space="preserve"> </w:t>
      </w:r>
    </w:p>
    <w:p w14:paraId="066464CE" w14:textId="0A0E7E5C" w:rsidR="005007D6" w:rsidRPr="0062356B" w:rsidRDefault="005007D6" w:rsidP="00922DBC">
      <w:r w:rsidRPr="0062356B">
        <w:t xml:space="preserve">Within </w:t>
      </w:r>
      <w:r w:rsidR="00C446B6" w:rsidRPr="0062356B">
        <w:t xml:space="preserve">each </w:t>
      </w:r>
      <w:r w:rsidR="002D49E9">
        <w:t>Integrated Care System</w:t>
      </w:r>
      <w:r w:rsidRPr="0062356B">
        <w:t xml:space="preserve"> </w:t>
      </w:r>
      <w:r w:rsidR="00C446B6" w:rsidRPr="0062356B">
        <w:t xml:space="preserve">secondary care services should ensure: </w:t>
      </w:r>
    </w:p>
    <w:p w14:paraId="78708123" w14:textId="64EA6DE5" w:rsidR="005007D6" w:rsidRPr="0062356B" w:rsidRDefault="00950B1C" w:rsidP="00922DBC">
      <w:pPr>
        <w:pStyle w:val="ListParagraph"/>
        <w:numPr>
          <w:ilvl w:val="0"/>
          <w:numId w:val="2"/>
        </w:numPr>
      </w:pPr>
      <w:r w:rsidRPr="0062356B">
        <w:t>P</w:t>
      </w:r>
      <w:r w:rsidR="005007D6" w:rsidRPr="0062356B">
        <w:t xml:space="preserve">atients with first seizures are </w:t>
      </w:r>
      <w:r w:rsidRPr="0062356B">
        <w:t xml:space="preserve">seen </w:t>
      </w:r>
      <w:r w:rsidR="005007D6" w:rsidRPr="0062356B">
        <w:t>within 2 weeks by a</w:t>
      </w:r>
      <w:r w:rsidR="00265B57">
        <w:t xml:space="preserve"> clinician with expertise in epilepsy </w:t>
      </w:r>
      <w:r w:rsidR="005007D6" w:rsidRPr="0062356B">
        <w:t>diagnosis</w:t>
      </w:r>
      <w:r w:rsidR="00265B57">
        <w:t xml:space="preserve"> for assessment</w:t>
      </w:r>
      <w:r w:rsidR="005007D6" w:rsidRPr="0062356B">
        <w:t xml:space="preserve">, investigation and treatment, as per </w:t>
      </w:r>
      <w:hyperlink r:id="rId8" w:history="1">
        <w:r w:rsidR="005007D6" w:rsidRPr="00F85E08">
          <w:rPr>
            <w:rStyle w:val="Hyperlink"/>
          </w:rPr>
          <w:t>NICE guidance</w:t>
        </w:r>
      </w:hyperlink>
      <w:r w:rsidR="005007D6" w:rsidRPr="0062356B">
        <w:t xml:space="preserve">. </w:t>
      </w:r>
    </w:p>
    <w:p w14:paraId="41625552" w14:textId="5166F55E" w:rsidR="00950B1C" w:rsidRPr="0062356B" w:rsidRDefault="007C113A" w:rsidP="00922DBC">
      <w:pPr>
        <w:pStyle w:val="ListParagraph"/>
        <w:numPr>
          <w:ilvl w:val="0"/>
          <w:numId w:val="2"/>
        </w:numPr>
      </w:pPr>
      <w:r>
        <w:t>Local a</w:t>
      </w:r>
      <w:r w:rsidR="00950B1C" w:rsidRPr="0062356B">
        <w:t xml:space="preserve">ccess to neurologists who can diagnose and explain </w:t>
      </w:r>
      <w:proofErr w:type="gramStart"/>
      <w:r w:rsidR="00950B1C" w:rsidRPr="0062356B">
        <w:t>Epilepsy, and</w:t>
      </w:r>
      <w:proofErr w:type="gramEnd"/>
      <w:r w:rsidR="00950B1C" w:rsidRPr="0062356B">
        <w:t xml:space="preserve"> manage the </w:t>
      </w:r>
      <w:r w:rsidR="00F85E08">
        <w:t>condition</w:t>
      </w:r>
      <w:r w:rsidR="00950B1C" w:rsidRPr="0062356B">
        <w:t xml:space="preserve">. </w:t>
      </w:r>
    </w:p>
    <w:p w14:paraId="78F504C8" w14:textId="1037811B" w:rsidR="0057131D" w:rsidRPr="0062356B" w:rsidRDefault="00950B1C" w:rsidP="00922DBC">
      <w:pPr>
        <w:pStyle w:val="ListParagraph"/>
        <w:numPr>
          <w:ilvl w:val="0"/>
          <w:numId w:val="2"/>
        </w:numPr>
      </w:pPr>
      <w:r w:rsidRPr="0062356B">
        <w:t xml:space="preserve">Local access within the ICS to </w:t>
      </w:r>
      <w:r w:rsidR="0057131D" w:rsidRPr="0062356B">
        <w:t>epilepsy clinics (first seizure assessment, follow-up, maternity and transition clinics), specialist epilepsy nursing</w:t>
      </w:r>
      <w:r w:rsidR="007C113A">
        <w:t xml:space="preserve"> service to provide </w:t>
      </w:r>
      <w:r w:rsidR="0057131D" w:rsidRPr="0062356B">
        <w:t xml:space="preserve">care planning, risk </w:t>
      </w:r>
      <w:r w:rsidRPr="0062356B">
        <w:t>a</w:t>
      </w:r>
      <w:r w:rsidR="0057131D" w:rsidRPr="0062356B">
        <w:t>ssessment</w:t>
      </w:r>
      <w:r w:rsidRPr="0062356B">
        <w:t xml:space="preserve"> for SUDEP, </w:t>
      </w:r>
      <w:r w:rsidR="0057131D" w:rsidRPr="0062356B">
        <w:t>seizure safety check</w:t>
      </w:r>
      <w:r w:rsidRPr="0062356B">
        <w:t>s</w:t>
      </w:r>
      <w:r w:rsidR="0057131D" w:rsidRPr="0062356B">
        <w:t xml:space="preserve">, </w:t>
      </w:r>
      <w:r w:rsidR="00F85E08">
        <w:t xml:space="preserve">safe </w:t>
      </w:r>
      <w:r w:rsidR="00C446B6" w:rsidRPr="0062356B">
        <w:t xml:space="preserve">antiepileptic drug </w:t>
      </w:r>
      <w:r w:rsidR="0057131D" w:rsidRPr="0062356B">
        <w:t>prescribing</w:t>
      </w:r>
      <w:r w:rsidRPr="0062356B">
        <w:t xml:space="preserve"> and titration support</w:t>
      </w:r>
      <w:r w:rsidR="0057131D" w:rsidRPr="0062356B">
        <w:t xml:space="preserve">, </w:t>
      </w:r>
      <w:r w:rsidR="00C446B6" w:rsidRPr="0062356B">
        <w:t xml:space="preserve">and a first point of </w:t>
      </w:r>
      <w:r w:rsidR="0057131D" w:rsidRPr="0062356B">
        <w:t xml:space="preserve">access to </w:t>
      </w:r>
      <w:r w:rsidR="00C446B6" w:rsidRPr="0062356B">
        <w:t xml:space="preserve">support </w:t>
      </w:r>
      <w:r w:rsidR="0057131D" w:rsidRPr="0062356B">
        <w:t xml:space="preserve">(for patients and </w:t>
      </w:r>
      <w:r w:rsidRPr="0062356B">
        <w:t xml:space="preserve">non-specialist </w:t>
      </w:r>
      <w:r w:rsidR="0057131D" w:rsidRPr="0062356B">
        <w:t>professionals).</w:t>
      </w:r>
    </w:p>
    <w:p w14:paraId="6AC56CB5" w14:textId="57E62340" w:rsidR="0057131D" w:rsidRDefault="0057131D" w:rsidP="00922DBC">
      <w:pPr>
        <w:pStyle w:val="ListParagraph"/>
        <w:numPr>
          <w:ilvl w:val="0"/>
          <w:numId w:val="2"/>
        </w:numPr>
      </w:pPr>
      <w:r w:rsidRPr="0062356B">
        <w:t>Enable local access to investigations</w:t>
      </w:r>
      <w:r w:rsidR="0062356B" w:rsidRPr="0062356B">
        <w:t xml:space="preserve"> required for diagnosis</w:t>
      </w:r>
      <w:r w:rsidR="0062356B">
        <w:t>,</w:t>
      </w:r>
      <w:r w:rsidRPr="0062356B">
        <w:t xml:space="preserve"> including </w:t>
      </w:r>
      <w:r w:rsidR="007C113A">
        <w:t xml:space="preserve">brain MRI scanning and specialist reporting, </w:t>
      </w:r>
      <w:r w:rsidR="00C446B6" w:rsidRPr="0062356B">
        <w:t xml:space="preserve">neurophysiology </w:t>
      </w:r>
      <w:r w:rsidR="007C113A">
        <w:t xml:space="preserve">with access to </w:t>
      </w:r>
      <w:r w:rsidR="006C419E" w:rsidRPr="0062356B">
        <w:t xml:space="preserve">EEG </w:t>
      </w:r>
      <w:r w:rsidR="006C419E">
        <w:t>and</w:t>
      </w:r>
      <w:r w:rsidR="007C113A">
        <w:t xml:space="preserve"> home </w:t>
      </w:r>
      <w:r w:rsidR="00950B1C" w:rsidRPr="0062356B">
        <w:t>telemetry</w:t>
      </w:r>
      <w:r w:rsidR="007C113A">
        <w:t>.</w:t>
      </w:r>
    </w:p>
    <w:p w14:paraId="1D333FC1" w14:textId="11A93E41" w:rsidR="007C113A" w:rsidRPr="0062356B" w:rsidRDefault="007C113A" w:rsidP="00922DBC">
      <w:pPr>
        <w:pStyle w:val="ListParagraph"/>
        <w:numPr>
          <w:ilvl w:val="0"/>
          <w:numId w:val="2"/>
        </w:numPr>
      </w:pPr>
      <w:r>
        <w:t xml:space="preserve">Access to inpatient EEG at sites receiving acute medical admissions. </w:t>
      </w:r>
    </w:p>
    <w:p w14:paraId="32E845EE" w14:textId="0B4CAA34" w:rsidR="0057131D" w:rsidRDefault="0057131D" w:rsidP="00922DBC">
      <w:pPr>
        <w:pStyle w:val="ListParagraph"/>
        <w:numPr>
          <w:ilvl w:val="0"/>
          <w:numId w:val="2"/>
        </w:numPr>
      </w:pPr>
      <w:r w:rsidRPr="0062356B">
        <w:t xml:space="preserve">Enable </w:t>
      </w:r>
      <w:r w:rsidR="00950B1C" w:rsidRPr="0062356B">
        <w:t xml:space="preserve">local </w:t>
      </w:r>
      <w:r w:rsidRPr="0062356B">
        <w:t xml:space="preserve">access to </w:t>
      </w:r>
      <w:r w:rsidR="00C446B6" w:rsidRPr="0062356B">
        <w:t xml:space="preserve">appropriate support from </w:t>
      </w:r>
      <w:r w:rsidRPr="0062356B">
        <w:t>maternity services, learning disability services, neuropsychiatry, elderly care, alcohol and drug addiction services, social services, psychology, end of life care</w:t>
      </w:r>
      <w:r w:rsidR="00C446B6" w:rsidRPr="0062356B">
        <w:t xml:space="preserve">, </w:t>
      </w:r>
      <w:r w:rsidRPr="0062356B">
        <w:t xml:space="preserve">social </w:t>
      </w:r>
      <w:r w:rsidR="006C419E" w:rsidRPr="0062356B">
        <w:t>prescribing.</w:t>
      </w:r>
    </w:p>
    <w:p w14:paraId="5C9F155A" w14:textId="2D2AD4D9" w:rsidR="008F273F" w:rsidRDefault="00ED28FB" w:rsidP="008F273F">
      <w:pPr>
        <w:pStyle w:val="ListParagraph"/>
        <w:numPr>
          <w:ilvl w:val="0"/>
          <w:numId w:val="2"/>
        </w:numPr>
      </w:pPr>
      <w:r>
        <w:t>A</w:t>
      </w:r>
      <w:r w:rsidR="008F273F" w:rsidRPr="0062356B">
        <w:t>ccess to case management support for patients through</w:t>
      </w:r>
      <w:r w:rsidR="008C32ED">
        <w:t xml:space="preserve"> a</w:t>
      </w:r>
      <w:r w:rsidR="008F273F" w:rsidRPr="0062356B">
        <w:t xml:space="preserve"> </w:t>
      </w:r>
      <w:r w:rsidR="008C32ED">
        <w:t xml:space="preserve">healthcare professional with appropriate expertise </w:t>
      </w:r>
      <w:r w:rsidR="008F273F">
        <w:t xml:space="preserve">(e.g. through Clinical Nurse Specialists) </w:t>
      </w:r>
    </w:p>
    <w:p w14:paraId="13CF7DC7" w14:textId="63653900" w:rsidR="0057131D" w:rsidRPr="0062356B" w:rsidRDefault="0057131D" w:rsidP="00922DBC">
      <w:r w:rsidRPr="0062356B">
        <w:t>As a minimum</w:t>
      </w:r>
      <w:r w:rsidR="00950B1C" w:rsidRPr="0062356B">
        <w:t xml:space="preserve">, </w:t>
      </w:r>
      <w:r w:rsidRPr="0062356B">
        <w:t xml:space="preserve">in addition to the above, </w:t>
      </w:r>
      <w:r w:rsidR="000642AB" w:rsidRPr="0062356B">
        <w:t>Specialised Neurology Centres</w:t>
      </w:r>
      <w:r w:rsidRPr="0062356B">
        <w:t xml:space="preserve"> </w:t>
      </w:r>
      <w:r w:rsidR="0062387A">
        <w:t>must</w:t>
      </w:r>
      <w:r w:rsidRPr="0062356B">
        <w:t xml:space="preserve"> offer:</w:t>
      </w:r>
    </w:p>
    <w:p w14:paraId="4D384276" w14:textId="77777777" w:rsidR="007A3207" w:rsidRPr="007A3207" w:rsidRDefault="007A3207" w:rsidP="00922DBC">
      <w:pPr>
        <w:pStyle w:val="ListParagraph"/>
        <w:numPr>
          <w:ilvl w:val="0"/>
          <w:numId w:val="2"/>
        </w:numPr>
      </w:pPr>
      <w:r w:rsidRPr="007A3207">
        <w:t xml:space="preserve">An MDT approach including a regional complex case MDT to support Neurology Units in </w:t>
      </w:r>
      <w:r>
        <w:t xml:space="preserve">linked </w:t>
      </w:r>
      <w:r w:rsidRPr="007A3207">
        <w:t xml:space="preserve">District General Hospitals </w:t>
      </w:r>
    </w:p>
    <w:p w14:paraId="481FBDAA" w14:textId="4A3FAEA4" w:rsidR="0057131D" w:rsidRPr="0062356B" w:rsidRDefault="0057131D" w:rsidP="00922DBC">
      <w:pPr>
        <w:pStyle w:val="ListParagraph"/>
        <w:numPr>
          <w:ilvl w:val="0"/>
          <w:numId w:val="2"/>
        </w:numPr>
      </w:pPr>
      <w:r w:rsidRPr="0062356B">
        <w:t xml:space="preserve">3T MRI and other advanced </w:t>
      </w:r>
      <w:r w:rsidR="00950B1C" w:rsidRPr="0062356B">
        <w:t xml:space="preserve">structural </w:t>
      </w:r>
      <w:r w:rsidRPr="0062356B">
        <w:t>imaging</w:t>
      </w:r>
      <w:r w:rsidR="00950B1C" w:rsidRPr="0062356B">
        <w:t>,</w:t>
      </w:r>
      <w:r w:rsidRPr="0062356B">
        <w:t xml:space="preserve"> reported by a </w:t>
      </w:r>
      <w:r w:rsidR="006C419E" w:rsidRPr="0062356B">
        <w:t>neuroradiologist.</w:t>
      </w:r>
    </w:p>
    <w:p w14:paraId="04BBEE70" w14:textId="51AD279D" w:rsidR="0057131D" w:rsidRPr="0062356B" w:rsidRDefault="002D49E9" w:rsidP="00922DBC">
      <w:pPr>
        <w:pStyle w:val="ListParagraph"/>
        <w:numPr>
          <w:ilvl w:val="0"/>
          <w:numId w:val="2"/>
        </w:numPr>
      </w:pPr>
      <w:r>
        <w:t>Access to n</w:t>
      </w:r>
      <w:r w:rsidR="0057131D" w:rsidRPr="0062356B">
        <w:t>europsychiatry and neuropsychology services</w:t>
      </w:r>
      <w:r w:rsidR="00950B1C" w:rsidRPr="0062356B">
        <w:t xml:space="preserve">, including for planning of epilepsy </w:t>
      </w:r>
      <w:r w:rsidR="006C419E" w:rsidRPr="0062356B">
        <w:t>surgery.</w:t>
      </w:r>
    </w:p>
    <w:p w14:paraId="38B703B2" w14:textId="6F3BD51D" w:rsidR="0057131D" w:rsidRPr="0062356B" w:rsidRDefault="00950B1C" w:rsidP="00922DBC">
      <w:pPr>
        <w:pStyle w:val="ListParagraph"/>
        <w:numPr>
          <w:ilvl w:val="0"/>
          <w:numId w:val="2"/>
        </w:numPr>
      </w:pPr>
      <w:r w:rsidRPr="0062356B">
        <w:t>Access to a v</w:t>
      </w:r>
      <w:r w:rsidR="0057131D" w:rsidRPr="0062356B">
        <w:t>ideo</w:t>
      </w:r>
      <w:r w:rsidR="002666DD">
        <w:t xml:space="preserve"> </w:t>
      </w:r>
      <w:r w:rsidR="0057131D" w:rsidRPr="0062356B">
        <w:t xml:space="preserve">EEG </w:t>
      </w:r>
      <w:r w:rsidRPr="0062356B">
        <w:t>t</w:t>
      </w:r>
      <w:r w:rsidR="0057131D" w:rsidRPr="0062356B">
        <w:t>elemetry service</w:t>
      </w:r>
    </w:p>
    <w:p w14:paraId="735015DD" w14:textId="26B8DA45" w:rsidR="0057131D" w:rsidRPr="0062356B" w:rsidRDefault="00950B1C" w:rsidP="00922DBC">
      <w:pPr>
        <w:pStyle w:val="ListParagraph"/>
        <w:numPr>
          <w:ilvl w:val="0"/>
          <w:numId w:val="2"/>
        </w:numPr>
      </w:pPr>
      <w:r w:rsidRPr="0062356B">
        <w:t>Local a</w:t>
      </w:r>
      <w:r w:rsidR="00C446B6" w:rsidRPr="0062356B">
        <w:t>ccess</w:t>
      </w:r>
      <w:r w:rsidRPr="0062356B">
        <w:t>,</w:t>
      </w:r>
      <w:r w:rsidR="00C446B6" w:rsidRPr="0062356B">
        <w:t xml:space="preserve"> </w:t>
      </w:r>
      <w:r w:rsidR="00C446B6" w:rsidRPr="00253EC9">
        <w:rPr>
          <w:i/>
          <w:iCs/>
        </w:rPr>
        <w:t xml:space="preserve">or </w:t>
      </w:r>
      <w:r w:rsidR="00C446B6" w:rsidRPr="0062356B">
        <w:t xml:space="preserve">clear pathways to access </w:t>
      </w:r>
      <w:r w:rsidRPr="0062356B">
        <w:t xml:space="preserve">from another centre, </w:t>
      </w:r>
      <w:r w:rsidR="00C446B6" w:rsidRPr="0062356B">
        <w:t>s</w:t>
      </w:r>
      <w:r w:rsidR="0057131D" w:rsidRPr="0062356B">
        <w:t xml:space="preserve">urgery </w:t>
      </w:r>
      <w:r w:rsidR="00C446B6" w:rsidRPr="0062356B">
        <w:t>for epilepsy</w:t>
      </w:r>
      <w:r w:rsidRPr="0062356B">
        <w:t xml:space="preserve"> </w:t>
      </w:r>
      <w:r w:rsidR="0057131D" w:rsidRPr="0062356B">
        <w:t xml:space="preserve">typically temporal lobectomy, </w:t>
      </w:r>
      <w:proofErr w:type="spellStart"/>
      <w:r w:rsidR="0057131D" w:rsidRPr="0062356B">
        <w:t>lesionectomy</w:t>
      </w:r>
      <w:proofErr w:type="spellEnd"/>
      <w:r w:rsidR="00C446B6" w:rsidRPr="0062356B">
        <w:t xml:space="preserve">, and </w:t>
      </w:r>
      <w:proofErr w:type="spellStart"/>
      <w:r w:rsidR="00C446B6" w:rsidRPr="0062356B">
        <w:t>v</w:t>
      </w:r>
      <w:r w:rsidR="0057131D" w:rsidRPr="0062356B">
        <w:t>agus</w:t>
      </w:r>
      <w:proofErr w:type="spellEnd"/>
      <w:r w:rsidR="0057131D" w:rsidRPr="0062356B">
        <w:t xml:space="preserve"> nerve stimulation (VNS)</w:t>
      </w:r>
      <w:r w:rsidRPr="0062356B">
        <w:t xml:space="preserve">. This must be undertaken on an MDT basis. </w:t>
      </w:r>
    </w:p>
    <w:p w14:paraId="6263C555" w14:textId="77777777" w:rsidR="0057131D" w:rsidRDefault="0057131D" w:rsidP="00922DBC">
      <w:pPr>
        <w:pStyle w:val="ListParagraph"/>
        <w:numPr>
          <w:ilvl w:val="0"/>
          <w:numId w:val="2"/>
        </w:numPr>
      </w:pPr>
      <w:r w:rsidRPr="0062356B">
        <w:t>Decision making and initialising non-standard medical therapies needing specialist support (e.g. ketogenic diet, cannabidiol CBD)</w:t>
      </w:r>
    </w:p>
    <w:p w14:paraId="1B0096F9" w14:textId="7D819C1D" w:rsidR="0062387A" w:rsidRPr="0062356B" w:rsidRDefault="0062387A" w:rsidP="0062387A">
      <w:pPr>
        <w:pStyle w:val="ListParagraph"/>
        <w:numPr>
          <w:ilvl w:val="0"/>
          <w:numId w:val="2"/>
        </w:numPr>
      </w:pPr>
      <w:r>
        <w:t xml:space="preserve">Epilepsy </w:t>
      </w:r>
      <w:r w:rsidRPr="0062356B">
        <w:t xml:space="preserve">in-reach advice for inpatients within the regional neurology bed-base. </w:t>
      </w:r>
    </w:p>
    <w:p w14:paraId="28962612" w14:textId="0453A4D8" w:rsidR="0057131D" w:rsidRPr="0062356B" w:rsidRDefault="007A3207" w:rsidP="00922DBC">
      <w:pPr>
        <w:pStyle w:val="ListParagraph"/>
        <w:numPr>
          <w:ilvl w:val="0"/>
          <w:numId w:val="2"/>
        </w:numPr>
      </w:pPr>
      <w:r>
        <w:t>Access to n</w:t>
      </w:r>
      <w:r w:rsidR="0057131D" w:rsidRPr="0062356B">
        <w:t xml:space="preserve">eurogenetics </w:t>
      </w:r>
    </w:p>
    <w:p w14:paraId="183CEECC" w14:textId="77777777" w:rsidR="00892EF0" w:rsidRPr="0062356B" w:rsidRDefault="00892EF0" w:rsidP="00892EF0">
      <w:pPr>
        <w:pStyle w:val="ListParagraph"/>
        <w:numPr>
          <w:ilvl w:val="0"/>
          <w:numId w:val="2"/>
        </w:numPr>
      </w:pPr>
      <w:r>
        <w:t>A</w:t>
      </w:r>
      <w:r w:rsidRPr="0062356B">
        <w:t>ccess to Clinical Trials</w:t>
      </w:r>
    </w:p>
    <w:p w14:paraId="7AEF4A72" w14:textId="77777777" w:rsidR="00892EF0" w:rsidRPr="0062356B" w:rsidRDefault="00892EF0" w:rsidP="00892EF0">
      <w:r w:rsidRPr="0062356B">
        <w:t xml:space="preserve">Quarternary services </w:t>
      </w:r>
      <w:r>
        <w:t>in a subset of Specialised Neurology Centres may</w:t>
      </w:r>
      <w:r w:rsidRPr="0062356B">
        <w:t xml:space="preserve"> offer:</w:t>
      </w:r>
    </w:p>
    <w:p w14:paraId="4F477ABF" w14:textId="7AE26326" w:rsidR="0057131D" w:rsidRPr="0062356B" w:rsidRDefault="0057131D" w:rsidP="00922DBC">
      <w:pPr>
        <w:pStyle w:val="ListParagraph"/>
        <w:numPr>
          <w:ilvl w:val="0"/>
          <w:numId w:val="2"/>
        </w:numPr>
      </w:pPr>
      <w:r w:rsidRPr="0062356B">
        <w:t>An MDT approach</w:t>
      </w:r>
      <w:r w:rsidR="00950B1C" w:rsidRPr="0062356B">
        <w:t xml:space="preserve"> with tertiary services at Specialised Neurology Centres / DGH Neurology Units</w:t>
      </w:r>
    </w:p>
    <w:p w14:paraId="043CDDBD" w14:textId="704FD38E" w:rsidR="0057131D" w:rsidRPr="0062356B" w:rsidRDefault="0057131D" w:rsidP="00922DBC">
      <w:pPr>
        <w:pStyle w:val="ListParagraph"/>
        <w:numPr>
          <w:ilvl w:val="0"/>
          <w:numId w:val="2"/>
        </w:numPr>
      </w:pPr>
      <w:r w:rsidRPr="0062356B">
        <w:t>Invasive video EEG telemetry</w:t>
      </w:r>
    </w:p>
    <w:p w14:paraId="5191E5D1" w14:textId="23C70965" w:rsidR="0057131D" w:rsidRPr="0062356B" w:rsidRDefault="0057131D" w:rsidP="00922DBC">
      <w:pPr>
        <w:pStyle w:val="ListParagraph"/>
        <w:numPr>
          <w:ilvl w:val="0"/>
          <w:numId w:val="2"/>
        </w:numPr>
      </w:pPr>
      <w:r w:rsidRPr="0062356B">
        <w:t>Single-photon emission computed tomography (SPECT)</w:t>
      </w:r>
      <w:r w:rsidR="0062356B" w:rsidRPr="0062356B">
        <w:t xml:space="preserve"> and </w:t>
      </w:r>
      <w:r w:rsidRPr="0062356B">
        <w:t>Positron emission tomography (PET) scan</w:t>
      </w:r>
    </w:p>
    <w:p w14:paraId="652A5B30" w14:textId="30B63F19" w:rsidR="0057131D" w:rsidRDefault="0057131D" w:rsidP="00922DBC">
      <w:pPr>
        <w:pStyle w:val="ListParagraph"/>
        <w:numPr>
          <w:ilvl w:val="0"/>
          <w:numId w:val="2"/>
        </w:numPr>
      </w:pPr>
      <w:r w:rsidRPr="0062356B">
        <w:t>Complex surgical resections</w:t>
      </w:r>
      <w:r w:rsidR="00C446B6" w:rsidRPr="0062356B">
        <w:t xml:space="preserve"> for </w:t>
      </w:r>
      <w:r w:rsidR="00950B1C" w:rsidRPr="0062356B">
        <w:t>Epilepsy</w:t>
      </w:r>
    </w:p>
    <w:p w14:paraId="6C680A20" w14:textId="2E009962" w:rsidR="002D49E9" w:rsidRPr="0062356B" w:rsidRDefault="002D49E9" w:rsidP="00922DBC">
      <w:pPr>
        <w:pStyle w:val="ListParagraph"/>
        <w:numPr>
          <w:ilvl w:val="0"/>
          <w:numId w:val="2"/>
        </w:numPr>
      </w:pPr>
      <w:r w:rsidRPr="002D49E9">
        <w:t>Magnetic resonance-guided laser interstitial thermal therapy</w:t>
      </w:r>
      <w:r>
        <w:t xml:space="preserve"> (</w:t>
      </w:r>
      <w:proofErr w:type="spellStart"/>
      <w:r>
        <w:t>MRgLITT</w:t>
      </w:r>
      <w:proofErr w:type="spellEnd"/>
      <w:r>
        <w:t>)</w:t>
      </w:r>
    </w:p>
    <w:p w14:paraId="3369C4AC" w14:textId="77777777" w:rsidR="00C446B6" w:rsidRPr="0062356B" w:rsidRDefault="00C446B6" w:rsidP="00922DBC">
      <w:pPr>
        <w:pStyle w:val="ListParagraph"/>
        <w:numPr>
          <w:ilvl w:val="0"/>
          <w:numId w:val="2"/>
        </w:numPr>
      </w:pPr>
      <w:proofErr w:type="spellStart"/>
      <w:r w:rsidRPr="0062356B">
        <w:t>Everolimus</w:t>
      </w:r>
      <w:proofErr w:type="spellEnd"/>
      <w:r w:rsidRPr="0062356B">
        <w:t xml:space="preserve"> for Tuberous Sclerosis Complex</w:t>
      </w:r>
    </w:p>
    <w:p w14:paraId="753716DF" w14:textId="77777777" w:rsidR="00527C38" w:rsidRDefault="00527C38">
      <w:pPr>
        <w:spacing w:after="160" w:line="259" w:lineRule="auto"/>
        <w:textAlignment w:val="auto"/>
        <w:rPr>
          <w:rStyle w:val="Heading1Char"/>
        </w:rPr>
      </w:pPr>
      <w:r>
        <w:rPr>
          <w:rStyle w:val="Heading1Char"/>
          <w:b w:val="0"/>
        </w:rPr>
        <w:br w:type="page"/>
      </w:r>
    </w:p>
    <w:p w14:paraId="0315862B" w14:textId="19C1E364" w:rsidR="00356ABA" w:rsidRPr="0062356B" w:rsidRDefault="00AE6A4D" w:rsidP="00922DBC">
      <w:pPr>
        <w:pStyle w:val="Heading1"/>
      </w:pPr>
      <w:r w:rsidRPr="0062356B">
        <w:rPr>
          <w:rStyle w:val="Heading1Char"/>
          <w:b/>
        </w:rPr>
        <w:lastRenderedPageBreak/>
        <w:t xml:space="preserve"> </w:t>
      </w:r>
      <w:bookmarkStart w:id="2" w:name="_Toc183522787"/>
      <w:r w:rsidRPr="0062356B">
        <w:t>Movement Disorder</w:t>
      </w:r>
      <w:r w:rsidR="00EB64CD">
        <w:t>s</w:t>
      </w:r>
      <w:r w:rsidRPr="0062356B">
        <w:t xml:space="preserve"> service</w:t>
      </w:r>
      <w:r w:rsidR="00EB64CD">
        <w:t>s</w:t>
      </w:r>
      <w:bookmarkEnd w:id="2"/>
    </w:p>
    <w:p w14:paraId="2265E2CB" w14:textId="77777777" w:rsidR="003B3DB9" w:rsidRPr="0062356B" w:rsidRDefault="003B3DB9" w:rsidP="00922DBC"/>
    <w:p w14:paraId="0E657C2A" w14:textId="7C1A43A2" w:rsidR="003B3DB9" w:rsidRPr="0062356B" w:rsidRDefault="003B3DB9" w:rsidP="00922DBC">
      <w:r w:rsidRPr="0062356B">
        <w:t xml:space="preserve">Within each </w:t>
      </w:r>
      <w:r w:rsidR="002D49E9">
        <w:t>Integrated Care System</w:t>
      </w:r>
      <w:r w:rsidRPr="0062356B">
        <w:t xml:space="preserve"> secondary care services should ensure:  </w:t>
      </w:r>
    </w:p>
    <w:p w14:paraId="6659124D" w14:textId="00F68023" w:rsidR="003B3DB9" w:rsidRPr="0062356B" w:rsidRDefault="007C113A" w:rsidP="00922DBC">
      <w:pPr>
        <w:pStyle w:val="ListParagraph"/>
        <w:numPr>
          <w:ilvl w:val="0"/>
          <w:numId w:val="1"/>
        </w:numPr>
      </w:pPr>
      <w:r>
        <w:t>Local access</w:t>
      </w:r>
      <w:r w:rsidR="003B3DB9" w:rsidRPr="0062356B">
        <w:t xml:space="preserve"> to </w:t>
      </w:r>
      <w:r w:rsidR="00265B57">
        <w:t xml:space="preserve">clinicians with expertise in diagnosis </w:t>
      </w:r>
      <w:r w:rsidR="003B3DB9" w:rsidRPr="0062356B">
        <w:t xml:space="preserve">who can diagnose and explain Parkinson’s </w:t>
      </w:r>
      <w:r w:rsidR="002A0064" w:rsidRPr="0062356B">
        <w:t>D</w:t>
      </w:r>
      <w:r w:rsidR="003B3DB9" w:rsidRPr="0062356B">
        <w:t>isease</w:t>
      </w:r>
      <w:r w:rsidR="002A0064" w:rsidRPr="0062356B">
        <w:t xml:space="preserve"> (PD)</w:t>
      </w:r>
      <w:r w:rsidR="003B3DB9" w:rsidRPr="0062356B">
        <w:t xml:space="preserve"> and other movement disorders, can initiate treatment where appropriate and signpost to support. </w:t>
      </w:r>
      <w:r w:rsidR="00265B57">
        <w:t>This will typically be a neurologi</w:t>
      </w:r>
      <w:r w:rsidR="002063FC">
        <w:t xml:space="preserve">st </w:t>
      </w:r>
      <w:r w:rsidR="00265B57">
        <w:t xml:space="preserve">or </w:t>
      </w:r>
      <w:r w:rsidR="002063FC">
        <w:t>geriatrician</w:t>
      </w:r>
      <w:r w:rsidR="00265B57">
        <w:t xml:space="preserve">. </w:t>
      </w:r>
    </w:p>
    <w:p w14:paraId="021FFE6A" w14:textId="47CC88CE" w:rsidR="003B3DB9" w:rsidRPr="0062356B" w:rsidRDefault="007C113A" w:rsidP="00922DBC">
      <w:pPr>
        <w:pStyle w:val="ListParagraph"/>
        <w:numPr>
          <w:ilvl w:val="0"/>
          <w:numId w:val="1"/>
        </w:numPr>
      </w:pPr>
      <w:r>
        <w:t>Local a</w:t>
      </w:r>
      <w:r w:rsidR="003B3DB9" w:rsidRPr="0062356B">
        <w:t xml:space="preserve">ccess to appropriate genetic testing for hereditary movement disorders </w:t>
      </w:r>
    </w:p>
    <w:p w14:paraId="206FC9A1" w14:textId="7E95A33F" w:rsidR="003B3DB9" w:rsidRPr="0062356B" w:rsidRDefault="007C113A" w:rsidP="00922DBC">
      <w:pPr>
        <w:pStyle w:val="ListParagraph"/>
        <w:numPr>
          <w:ilvl w:val="0"/>
          <w:numId w:val="1"/>
        </w:numPr>
      </w:pPr>
      <w:r>
        <w:t>Local a</w:t>
      </w:r>
      <w:r w:rsidR="003B3DB9" w:rsidRPr="0062356B">
        <w:t xml:space="preserve">ccess to basic investigations that might be needed as part of the diagnostic process (imaging, neurophysiology, CSF studies). </w:t>
      </w:r>
    </w:p>
    <w:p w14:paraId="7B96E3E7" w14:textId="7E5ED90E" w:rsidR="003B3DB9" w:rsidRPr="0062356B" w:rsidRDefault="003B3DB9" w:rsidP="00922DBC">
      <w:pPr>
        <w:pStyle w:val="ListParagraph"/>
        <w:numPr>
          <w:ilvl w:val="0"/>
          <w:numId w:val="1"/>
        </w:numPr>
      </w:pPr>
      <w:r w:rsidRPr="0062356B">
        <w:t xml:space="preserve">Sufficient capacity to offer appropriate follow-up where </w:t>
      </w:r>
      <w:r w:rsidR="002A0064" w:rsidRPr="0062356B">
        <w:t xml:space="preserve">required. Patients with Parkinson’s </w:t>
      </w:r>
      <w:r w:rsidR="00F85E08">
        <w:t>d</w:t>
      </w:r>
      <w:r w:rsidR="002A0064" w:rsidRPr="0062356B">
        <w:t xml:space="preserve">isease should be offered </w:t>
      </w:r>
      <w:r w:rsidR="003E7406">
        <w:t xml:space="preserve">at least </w:t>
      </w:r>
      <w:r w:rsidR="002A0064" w:rsidRPr="0062356B">
        <w:t xml:space="preserve">annual review by a healthcare professional with expertise in </w:t>
      </w:r>
      <w:r w:rsidR="006C419E" w:rsidRPr="0062356B">
        <w:t>PD</w:t>
      </w:r>
      <w:r w:rsidR="003E7406">
        <w:t>, and more frequently if necessary</w:t>
      </w:r>
      <w:r w:rsidR="006C419E" w:rsidRPr="0062356B">
        <w:t>.</w:t>
      </w:r>
      <w:r w:rsidR="002A0064" w:rsidRPr="0062356B">
        <w:t xml:space="preserve"> </w:t>
      </w:r>
    </w:p>
    <w:p w14:paraId="05CBA9DA" w14:textId="2A976C30" w:rsidR="003B3DB9" w:rsidRPr="0062356B" w:rsidRDefault="007C113A" w:rsidP="00922DBC">
      <w:pPr>
        <w:pStyle w:val="ListParagraph"/>
        <w:numPr>
          <w:ilvl w:val="0"/>
          <w:numId w:val="1"/>
        </w:numPr>
      </w:pPr>
      <w:r>
        <w:t>Local a</w:t>
      </w:r>
      <w:r w:rsidR="003B3DB9" w:rsidRPr="0062356B">
        <w:t>ccess to elderly care services for Parkinson’s diseas</w:t>
      </w:r>
      <w:r w:rsidR="002A0064" w:rsidRPr="0062356B">
        <w:t>e</w:t>
      </w:r>
      <w:r w:rsidR="002063FC">
        <w:t xml:space="preserve"> and other neurodegenerative movement disorders</w:t>
      </w:r>
      <w:r w:rsidR="002A0064" w:rsidRPr="0062356B">
        <w:t xml:space="preserve">, linked to local frailty </w:t>
      </w:r>
      <w:r w:rsidR="006C419E" w:rsidRPr="0062356B">
        <w:t>pathways.</w:t>
      </w:r>
    </w:p>
    <w:p w14:paraId="3618E285" w14:textId="18E59093" w:rsidR="003B3DB9" w:rsidRPr="0062356B" w:rsidRDefault="007C113A" w:rsidP="00922DBC">
      <w:pPr>
        <w:pStyle w:val="ListParagraph"/>
        <w:numPr>
          <w:ilvl w:val="0"/>
          <w:numId w:val="1"/>
        </w:numPr>
      </w:pPr>
      <w:r>
        <w:t>Local a</w:t>
      </w:r>
      <w:r w:rsidR="003B3DB9" w:rsidRPr="0062356B">
        <w:t>ccess to botulinum toxin therapy for patients with dystonia</w:t>
      </w:r>
      <w:r w:rsidR="00ED28FB">
        <w:t xml:space="preserve">.  </w:t>
      </w:r>
    </w:p>
    <w:p w14:paraId="7709974E" w14:textId="4EDECA9B" w:rsidR="002A0064" w:rsidRDefault="00C8460C" w:rsidP="00922DBC">
      <w:pPr>
        <w:pStyle w:val="ListParagraph"/>
        <w:numPr>
          <w:ilvl w:val="0"/>
          <w:numId w:val="1"/>
        </w:numPr>
      </w:pPr>
      <w:r>
        <w:t>A</w:t>
      </w:r>
      <w:r w:rsidRPr="0062356B">
        <w:t>ccess</w:t>
      </w:r>
      <w:r w:rsidR="002A0064" w:rsidRPr="0062356B">
        <w:t xml:space="preserve"> to case management support for patients through </w:t>
      </w:r>
      <w:r w:rsidR="008C32ED">
        <w:t xml:space="preserve">a healthcare professional with appropriate expertise </w:t>
      </w:r>
      <w:r w:rsidR="008F273F">
        <w:t xml:space="preserve">(e.g. through Clinical Nurse Specialists) </w:t>
      </w:r>
    </w:p>
    <w:p w14:paraId="03BB8389" w14:textId="1A57913F" w:rsidR="002063FC" w:rsidRPr="0062356B" w:rsidRDefault="002063FC" w:rsidP="002063FC">
      <w:pPr>
        <w:pStyle w:val="ListParagraph"/>
        <w:numPr>
          <w:ilvl w:val="0"/>
          <w:numId w:val="1"/>
        </w:numPr>
      </w:pPr>
      <w:r>
        <w:t>Access to local community pathways for rehabilitation, disability management and end of life care where necessary.</w:t>
      </w:r>
    </w:p>
    <w:p w14:paraId="397B5F00" w14:textId="6570CB04" w:rsidR="00AC4AFC" w:rsidRDefault="00AC4AFC" w:rsidP="00922DBC">
      <w:pPr>
        <w:pStyle w:val="ListParagraph"/>
        <w:numPr>
          <w:ilvl w:val="0"/>
          <w:numId w:val="1"/>
        </w:numPr>
      </w:pPr>
      <w:r>
        <w:t>Sufficient c</w:t>
      </w:r>
      <w:r w:rsidR="003B3DB9" w:rsidRPr="0062356B">
        <w:t>apacity to discuss patients and access advice from specialist regional movement disorders services either through local provision / outreach if possible or a clear pathway for referral to the regional Specialised Neurology Centre.</w:t>
      </w:r>
    </w:p>
    <w:p w14:paraId="158969BF" w14:textId="00248540" w:rsidR="00CB6054" w:rsidRPr="0062356B" w:rsidRDefault="002D49E9" w:rsidP="00922DBC">
      <w:r w:rsidRPr="0062356B">
        <w:t xml:space="preserve">As a minimum, in addition to the above, Specialised Neurology Centres </w:t>
      </w:r>
      <w:r w:rsidR="0062387A">
        <w:t>must</w:t>
      </w:r>
      <w:r w:rsidRPr="0062356B">
        <w:t xml:space="preserve"> offer</w:t>
      </w:r>
      <w:r w:rsidR="00CB6054" w:rsidRPr="0062356B">
        <w:t>:</w:t>
      </w:r>
    </w:p>
    <w:p w14:paraId="53AA7876" w14:textId="1491E1C8" w:rsidR="00CB6054" w:rsidRDefault="002A0064" w:rsidP="00922DBC">
      <w:pPr>
        <w:pStyle w:val="ListParagraph"/>
        <w:numPr>
          <w:ilvl w:val="0"/>
          <w:numId w:val="2"/>
        </w:numPr>
      </w:pPr>
      <w:r w:rsidRPr="0062356B">
        <w:t>S</w:t>
      </w:r>
      <w:r w:rsidR="00CB6054" w:rsidRPr="0062356B">
        <w:t xml:space="preserve">pecialist diagnostic and treatment services for advanced Parkinson’s disease and </w:t>
      </w:r>
      <w:r w:rsidR="007C113A">
        <w:t xml:space="preserve">other </w:t>
      </w:r>
      <w:r w:rsidR="00CB6054" w:rsidRPr="0062356B">
        <w:t xml:space="preserve">complex movement disorders (e.g. Huntington’s disease and Tourette syndrome) </w:t>
      </w:r>
    </w:p>
    <w:p w14:paraId="22565080" w14:textId="117B3A86" w:rsidR="007A3207" w:rsidRPr="007A3207" w:rsidRDefault="007A3207" w:rsidP="00922DBC">
      <w:pPr>
        <w:pStyle w:val="ListParagraph"/>
        <w:numPr>
          <w:ilvl w:val="0"/>
          <w:numId w:val="2"/>
        </w:numPr>
      </w:pPr>
      <w:r w:rsidRPr="007A3207">
        <w:t xml:space="preserve">An MDT approach including a regional complex case MDT to support Neurology Units in </w:t>
      </w:r>
      <w:r>
        <w:t xml:space="preserve">linked </w:t>
      </w:r>
      <w:r w:rsidRPr="007A3207">
        <w:t xml:space="preserve">District General Hospitals </w:t>
      </w:r>
    </w:p>
    <w:p w14:paraId="4DDC29EC" w14:textId="43B2EC5D" w:rsidR="00CB6054" w:rsidRDefault="002A0064" w:rsidP="00922DBC">
      <w:pPr>
        <w:pStyle w:val="ListParagraph"/>
        <w:numPr>
          <w:ilvl w:val="0"/>
          <w:numId w:val="2"/>
        </w:numPr>
      </w:pPr>
      <w:r w:rsidRPr="0062356B">
        <w:t>A</w:t>
      </w:r>
      <w:r w:rsidR="00CB6054" w:rsidRPr="0062356B">
        <w:t>t least annual review with an MDT member for people with chronic progressive movement disorders, and more frequently if required.</w:t>
      </w:r>
    </w:p>
    <w:p w14:paraId="43A955A5" w14:textId="4A0B977F" w:rsidR="00D1205E" w:rsidRDefault="00D1205E" w:rsidP="00922DBC">
      <w:pPr>
        <w:pStyle w:val="ListParagraph"/>
        <w:numPr>
          <w:ilvl w:val="0"/>
          <w:numId w:val="2"/>
        </w:numPr>
      </w:pPr>
      <w:r>
        <w:t xml:space="preserve">Access to all relevant commissioned specialised treatments </w:t>
      </w:r>
    </w:p>
    <w:p w14:paraId="3A88A999" w14:textId="69D4656B" w:rsidR="00D1205E" w:rsidRDefault="00D1205E" w:rsidP="00922DBC">
      <w:pPr>
        <w:pStyle w:val="ListParagraph"/>
        <w:numPr>
          <w:ilvl w:val="0"/>
          <w:numId w:val="2"/>
        </w:numPr>
      </w:pPr>
      <w:r w:rsidRPr="0062356B">
        <w:t>Local access</w:t>
      </w:r>
      <w:r w:rsidR="007A3207">
        <w:t xml:space="preserve"> to</w:t>
      </w:r>
      <w:r w:rsidRPr="0062356B">
        <w:t xml:space="preserve">, or clear joint pathways to access from another centre, </w:t>
      </w:r>
      <w:r w:rsidR="007A3207">
        <w:t>deep brain stimulation for patients with advanced Parkinson’s disease or other movement disorders</w:t>
      </w:r>
      <w:r w:rsidR="00677B2D">
        <w:t xml:space="preserve">. This must be </w:t>
      </w:r>
      <w:r w:rsidR="002D49E9">
        <w:t xml:space="preserve">undertaken </w:t>
      </w:r>
      <w:r w:rsidRPr="0062356B">
        <w:t>on an MDT basis</w:t>
      </w:r>
      <w:r w:rsidR="00677B2D">
        <w:t xml:space="preserve"> (including neurology, neurosurgery, neuropsychiatry, neuropsychology and specialist nursing</w:t>
      </w:r>
      <w:r w:rsidR="008C32ED">
        <w:t xml:space="preserve"> and pharmacy</w:t>
      </w:r>
      <w:r w:rsidR="00677B2D">
        <w:t>).</w:t>
      </w:r>
      <w:r w:rsidRPr="0062356B">
        <w:t xml:space="preserve"> </w:t>
      </w:r>
    </w:p>
    <w:p w14:paraId="42A9B0B3" w14:textId="4136F760" w:rsidR="0062387A" w:rsidRDefault="0062387A" w:rsidP="0062387A">
      <w:pPr>
        <w:pStyle w:val="ListParagraph"/>
        <w:numPr>
          <w:ilvl w:val="0"/>
          <w:numId w:val="2"/>
        </w:numPr>
      </w:pPr>
      <w:r>
        <w:t>Availability of Movement disorders</w:t>
      </w:r>
      <w:r w:rsidRPr="0062356B">
        <w:t xml:space="preserve"> in-reach advice for inpatients within the regional neurology bed-base. </w:t>
      </w:r>
    </w:p>
    <w:p w14:paraId="1A63EF32" w14:textId="77777777" w:rsidR="0062387A" w:rsidRDefault="0062387A" w:rsidP="00922DBC">
      <w:pPr>
        <w:pStyle w:val="ListParagraph"/>
        <w:numPr>
          <w:ilvl w:val="0"/>
          <w:numId w:val="2"/>
        </w:numPr>
      </w:pPr>
      <w:r w:rsidRPr="00534B72">
        <w:t xml:space="preserve">Access to specialist neuropsychiatry and neuropsychology is essential given frequent cognitive and behavioural symptomatology in </w:t>
      </w:r>
      <w:r>
        <w:t>Parkinson’s disease and other</w:t>
      </w:r>
      <w:r w:rsidRPr="00534B72">
        <w:t xml:space="preserve"> movement disorders. </w:t>
      </w:r>
    </w:p>
    <w:p w14:paraId="2B0E8066" w14:textId="77777777" w:rsidR="007A3207" w:rsidRPr="0062356B" w:rsidRDefault="007A3207" w:rsidP="00922DBC">
      <w:pPr>
        <w:pStyle w:val="ListParagraph"/>
        <w:numPr>
          <w:ilvl w:val="0"/>
          <w:numId w:val="2"/>
        </w:numPr>
      </w:pPr>
      <w:r>
        <w:t>Access to n</w:t>
      </w:r>
      <w:r w:rsidRPr="0062356B">
        <w:t xml:space="preserve">eurogenetics </w:t>
      </w:r>
    </w:p>
    <w:p w14:paraId="21F39236" w14:textId="77777777" w:rsidR="00892EF0" w:rsidRPr="0062356B" w:rsidRDefault="00892EF0" w:rsidP="00892EF0">
      <w:pPr>
        <w:pStyle w:val="ListParagraph"/>
        <w:numPr>
          <w:ilvl w:val="0"/>
          <w:numId w:val="2"/>
        </w:numPr>
      </w:pPr>
      <w:r>
        <w:t>A</w:t>
      </w:r>
      <w:r w:rsidRPr="0062356B">
        <w:t>ccess to Clinical Trials</w:t>
      </w:r>
    </w:p>
    <w:p w14:paraId="1FEDD0C3" w14:textId="77777777" w:rsidR="002D49E9" w:rsidRPr="0062356B" w:rsidRDefault="002D49E9" w:rsidP="002D49E9">
      <w:r w:rsidRPr="0062356B">
        <w:t xml:space="preserve">Quarternary services </w:t>
      </w:r>
      <w:r>
        <w:t>in a subset of Specialised Neurology Centres may</w:t>
      </w:r>
      <w:r w:rsidRPr="0062356B">
        <w:t xml:space="preserve"> offer:</w:t>
      </w:r>
    </w:p>
    <w:p w14:paraId="42CCC6FE" w14:textId="77777777" w:rsidR="002D49E9" w:rsidRDefault="002D49E9" w:rsidP="00835006">
      <w:pPr>
        <w:pStyle w:val="ListParagraph"/>
        <w:numPr>
          <w:ilvl w:val="0"/>
          <w:numId w:val="2"/>
        </w:numPr>
      </w:pPr>
      <w:r>
        <w:t>Neurosurgical services for Deep Brain Stimulation</w:t>
      </w:r>
    </w:p>
    <w:p w14:paraId="0561B5FC" w14:textId="608F9D6D" w:rsidR="003B3DB9" w:rsidRPr="00534B72" w:rsidRDefault="002D49E9" w:rsidP="00922DBC">
      <w:pPr>
        <w:pStyle w:val="ListParagraph"/>
        <w:numPr>
          <w:ilvl w:val="0"/>
          <w:numId w:val="2"/>
        </w:numPr>
        <w:rPr>
          <w:b/>
          <w:bCs/>
        </w:rPr>
      </w:pPr>
      <w:r w:rsidRPr="002D49E9">
        <w:t xml:space="preserve">Magnetic Resonance-guided </w:t>
      </w:r>
      <w:r>
        <w:t>F</w:t>
      </w:r>
      <w:r w:rsidRPr="002D49E9">
        <w:t xml:space="preserve">ocused </w:t>
      </w:r>
      <w:r>
        <w:t>U</w:t>
      </w:r>
      <w:r w:rsidRPr="002D49E9">
        <w:t>ltrasound Surgery</w:t>
      </w:r>
      <w:r>
        <w:t xml:space="preserve"> Thalamotomy for refractory essential tremor</w:t>
      </w:r>
      <w:r w:rsidR="003B3DB9" w:rsidRPr="00534B72">
        <w:rPr>
          <w:b/>
          <w:bCs/>
        </w:rPr>
        <w:br w:type="page"/>
      </w:r>
    </w:p>
    <w:p w14:paraId="108F2824" w14:textId="2A8E1693" w:rsidR="003B3DB9" w:rsidRDefault="003B3DB9" w:rsidP="00922DBC">
      <w:pPr>
        <w:pStyle w:val="Heading1"/>
      </w:pPr>
      <w:r w:rsidRPr="0062356B">
        <w:lastRenderedPageBreak/>
        <w:t xml:space="preserve"> </w:t>
      </w:r>
      <w:bookmarkStart w:id="3" w:name="_Toc183522788"/>
      <w:r w:rsidR="00FD4414">
        <w:t>MS</w:t>
      </w:r>
      <w:r w:rsidRPr="0062356B">
        <w:t xml:space="preserve"> </w:t>
      </w:r>
      <w:r w:rsidR="00FD4414">
        <w:t xml:space="preserve">&amp; CNS Neuroinflammation </w:t>
      </w:r>
      <w:r w:rsidRPr="0062356B">
        <w:t>service</w:t>
      </w:r>
      <w:r w:rsidR="00FD4414">
        <w:t>s</w:t>
      </w:r>
      <w:bookmarkEnd w:id="3"/>
      <w:r w:rsidR="00EB64CD">
        <w:t xml:space="preserve"> </w:t>
      </w:r>
    </w:p>
    <w:p w14:paraId="35E8B2DF" w14:textId="77777777" w:rsidR="0062356B" w:rsidRPr="0062356B" w:rsidRDefault="0062356B" w:rsidP="00922DBC"/>
    <w:p w14:paraId="2A5DFD87" w14:textId="532A9A62" w:rsidR="002A0064" w:rsidRPr="0062356B" w:rsidRDefault="002A0064" w:rsidP="00922DBC">
      <w:r w:rsidRPr="0062356B">
        <w:t xml:space="preserve">Within each </w:t>
      </w:r>
      <w:r w:rsidR="002D49E9">
        <w:t>Integrated Care System</w:t>
      </w:r>
      <w:r w:rsidRPr="0062356B">
        <w:t xml:space="preserve"> secondary care services should ensure:  </w:t>
      </w:r>
    </w:p>
    <w:p w14:paraId="7DF75862" w14:textId="77A697AC" w:rsidR="00D83377" w:rsidRPr="0062356B" w:rsidRDefault="00D83377" w:rsidP="00D83377">
      <w:pPr>
        <w:pStyle w:val="ListParagraph"/>
        <w:numPr>
          <w:ilvl w:val="0"/>
          <w:numId w:val="2"/>
        </w:numPr>
      </w:pPr>
      <w:r>
        <w:t>Local a</w:t>
      </w:r>
      <w:r w:rsidRPr="0062356B">
        <w:t xml:space="preserve">ccess to neurologists who can diagnose and explain </w:t>
      </w:r>
      <w:r>
        <w:t>Multiple Sclerosis and other neuroinflammatory disorders</w:t>
      </w:r>
      <w:r w:rsidRPr="0062356B">
        <w:t xml:space="preserve">. </w:t>
      </w:r>
    </w:p>
    <w:p w14:paraId="26578BD9" w14:textId="42EF5AB8" w:rsidR="00D83377" w:rsidRDefault="00D83377" w:rsidP="00DB2D76">
      <w:pPr>
        <w:pStyle w:val="ListParagraph"/>
        <w:numPr>
          <w:ilvl w:val="0"/>
          <w:numId w:val="2"/>
        </w:numPr>
      </w:pPr>
      <w:r>
        <w:t>Local access to MRI imaging required for the diagnosis and monitoring of people with MS and other neuroinflammatory disorders, including access to neuroradiology review.</w:t>
      </w:r>
    </w:p>
    <w:p w14:paraId="294E33CE" w14:textId="353996DA" w:rsidR="00D83377" w:rsidRDefault="00D83377" w:rsidP="00B740BA">
      <w:pPr>
        <w:pStyle w:val="ListParagraph"/>
        <w:numPr>
          <w:ilvl w:val="0"/>
          <w:numId w:val="2"/>
        </w:numPr>
      </w:pPr>
      <w:r>
        <w:t xml:space="preserve">Patients diagnosed with </w:t>
      </w:r>
      <w:r w:rsidRPr="0062356B">
        <w:t xml:space="preserve">MS by general neurologists </w:t>
      </w:r>
      <w:r>
        <w:t>or other physicians are</w:t>
      </w:r>
      <w:r w:rsidRPr="0062356B">
        <w:t xml:space="preserve"> referred to an MS specialist neurologist for categorisation of the patients’ disease and </w:t>
      </w:r>
      <w:r>
        <w:t xml:space="preserve">selection of appropriate disease-modifying </w:t>
      </w:r>
      <w:r w:rsidRPr="0062356B">
        <w:t>therapies</w:t>
      </w:r>
      <w:r>
        <w:t xml:space="preserve"> (DMT</w:t>
      </w:r>
      <w:r w:rsidR="006C419E">
        <w:t>).</w:t>
      </w:r>
      <w:r w:rsidRPr="00C8460C">
        <w:t xml:space="preserve"> </w:t>
      </w:r>
      <w:r w:rsidR="00B740BA">
        <w:t xml:space="preserve">Ongoing review may occur in secondary care or tertiary care, depending on complexity / need. </w:t>
      </w:r>
    </w:p>
    <w:p w14:paraId="6AE0EEA4" w14:textId="6092A4E0" w:rsidR="00D83377" w:rsidRDefault="00D83377" w:rsidP="00045410">
      <w:pPr>
        <w:pStyle w:val="ListParagraph"/>
        <w:numPr>
          <w:ilvl w:val="0"/>
          <w:numId w:val="2"/>
        </w:numPr>
      </w:pPr>
      <w:r>
        <w:t xml:space="preserve">Patients should have access to specialist clinical MDT discussion of their case to </w:t>
      </w:r>
      <w:r w:rsidRPr="0062356B">
        <w:t xml:space="preserve">enable approval for DMTs which require </w:t>
      </w:r>
      <w:r>
        <w:t xml:space="preserve">an </w:t>
      </w:r>
      <w:r w:rsidRPr="0062356B">
        <w:t>MDT</w:t>
      </w:r>
      <w:r>
        <w:t xml:space="preserve">. DMTs should be provided promptly (ideally within 12 weeks of decision) as close to home as possible. </w:t>
      </w:r>
    </w:p>
    <w:p w14:paraId="4DCCE02F" w14:textId="6E1387FE" w:rsidR="00D83377" w:rsidRPr="0062356B" w:rsidRDefault="00D83377" w:rsidP="00D83377">
      <w:pPr>
        <w:pStyle w:val="ListParagraph"/>
        <w:numPr>
          <w:ilvl w:val="0"/>
          <w:numId w:val="2"/>
        </w:numPr>
      </w:pPr>
      <w:r w:rsidRPr="0062356B">
        <w:t xml:space="preserve">Access to case management support for patients through </w:t>
      </w:r>
      <w:r w:rsidR="008C32ED">
        <w:t xml:space="preserve">a healthcare professional with appropriate expertise with an </w:t>
      </w:r>
      <w:r w:rsidRPr="0062356B">
        <w:t xml:space="preserve">appointment </w:t>
      </w:r>
      <w:r>
        <w:t xml:space="preserve">offered ideally </w:t>
      </w:r>
      <w:r w:rsidRPr="0062356B">
        <w:t>within 4 weeks of diagnosis</w:t>
      </w:r>
      <w:r>
        <w:t xml:space="preserve">. This should focus on </w:t>
      </w:r>
      <w:r w:rsidRPr="0062356B">
        <w:t>symptom</w:t>
      </w:r>
      <w:r>
        <w:t xml:space="preserve"> </w:t>
      </w:r>
      <w:r w:rsidRPr="0062356B">
        <w:t xml:space="preserve">/ lifestyle management </w:t>
      </w:r>
      <w:r>
        <w:t xml:space="preserve">and </w:t>
      </w:r>
      <w:r w:rsidRPr="0062356B">
        <w:t xml:space="preserve">referral to </w:t>
      </w:r>
      <w:r w:rsidR="006C419E">
        <w:t>professionals</w:t>
      </w:r>
      <w:r>
        <w:t xml:space="preserve"> from the wider multidisciplinary team</w:t>
      </w:r>
      <w:r w:rsidRPr="0062356B">
        <w:t xml:space="preserve">. </w:t>
      </w:r>
    </w:p>
    <w:p w14:paraId="47C1515A" w14:textId="17938AAE" w:rsidR="00D83377" w:rsidRPr="0062356B" w:rsidRDefault="00D83377" w:rsidP="00D83377">
      <w:pPr>
        <w:pStyle w:val="ListParagraph"/>
        <w:numPr>
          <w:ilvl w:val="0"/>
          <w:numId w:val="2"/>
        </w:numPr>
      </w:pPr>
      <w:r>
        <w:t xml:space="preserve">Local </w:t>
      </w:r>
      <w:r w:rsidRPr="0062356B">
        <w:t>access to an MDT within region, including physiotherapy, occupational therapy,</w:t>
      </w:r>
      <w:r>
        <w:t xml:space="preserve"> psychology, </w:t>
      </w:r>
      <w:r w:rsidRPr="0062356B">
        <w:t>speech and language therapists, psychologists, dietitians, social care, continence specialists and specialist neuro-pharmacists or specialist MS pharmacists</w:t>
      </w:r>
      <w:r>
        <w:t xml:space="preserve"> and </w:t>
      </w:r>
      <w:r w:rsidRPr="0062356B">
        <w:t>consultants in rehabilitation medicin</w:t>
      </w:r>
      <w:r>
        <w:t>e and neuropsychiatry</w:t>
      </w:r>
    </w:p>
    <w:p w14:paraId="5E5AC136" w14:textId="1771204A" w:rsidR="00D83377" w:rsidRPr="0062356B" w:rsidRDefault="003E7406" w:rsidP="00D83377">
      <w:pPr>
        <w:pStyle w:val="ListParagraph"/>
        <w:numPr>
          <w:ilvl w:val="0"/>
          <w:numId w:val="2"/>
        </w:numPr>
      </w:pPr>
      <w:r>
        <w:t xml:space="preserve">At least </w:t>
      </w:r>
      <w:r w:rsidR="00D83377" w:rsidRPr="0062356B">
        <w:t>annual review by a healthcare professional with expertise in MS</w:t>
      </w:r>
      <w:r w:rsidR="00D83377">
        <w:t xml:space="preserve"> should be offered, along with </w:t>
      </w:r>
      <w:r w:rsidR="00D83377" w:rsidRPr="0062356B">
        <w:t xml:space="preserve">rapid access for assessment of changes in a patient’s condition </w:t>
      </w:r>
      <w:r w:rsidR="00D83377">
        <w:t>such as relapse or progression.</w:t>
      </w:r>
    </w:p>
    <w:p w14:paraId="656D0037" w14:textId="6D3C0678" w:rsidR="002D49E9" w:rsidRPr="0062356B" w:rsidRDefault="002D49E9" w:rsidP="002D49E9">
      <w:r w:rsidRPr="0062356B">
        <w:t xml:space="preserve">As a minimum, in addition to the above, Specialised Neurology Centres </w:t>
      </w:r>
      <w:r w:rsidR="0062387A">
        <w:t>must</w:t>
      </w:r>
      <w:r w:rsidRPr="0062356B">
        <w:t xml:space="preserve"> offer:</w:t>
      </w:r>
    </w:p>
    <w:p w14:paraId="309941FF" w14:textId="77777777" w:rsidR="003B3DB9" w:rsidRPr="0062356B" w:rsidRDefault="003B3DB9" w:rsidP="00922DBC">
      <w:pPr>
        <w:pStyle w:val="ListParagraph"/>
        <w:numPr>
          <w:ilvl w:val="0"/>
          <w:numId w:val="2"/>
        </w:numPr>
      </w:pPr>
      <w:r w:rsidRPr="0062356B">
        <w:t xml:space="preserve">Access to a multidisciplinary regional MS subspecialty team who can assess and manage treatment in an outpatient and/or inpatient setting. </w:t>
      </w:r>
    </w:p>
    <w:p w14:paraId="0285A6F6" w14:textId="77777777" w:rsidR="003B3DB9" w:rsidRDefault="003B3DB9" w:rsidP="00922DBC">
      <w:pPr>
        <w:pStyle w:val="ListParagraph"/>
        <w:numPr>
          <w:ilvl w:val="0"/>
          <w:numId w:val="2"/>
        </w:numPr>
      </w:pPr>
      <w:r w:rsidRPr="0062356B">
        <w:t xml:space="preserve">Access to an MS neurologist or MS nurse to enable discussion and approval for DMTs which require a DMT MDT for </w:t>
      </w:r>
      <w:proofErr w:type="spellStart"/>
      <w:r w:rsidRPr="0062356B">
        <w:t>BluTeq</w:t>
      </w:r>
      <w:proofErr w:type="spellEnd"/>
      <w:r w:rsidRPr="0062356B">
        <w:t xml:space="preserve"> approval.</w:t>
      </w:r>
    </w:p>
    <w:p w14:paraId="5EB1B1DC" w14:textId="6A7D90E7" w:rsidR="007325F8" w:rsidRPr="007325F8" w:rsidRDefault="00D1205E" w:rsidP="007325F8">
      <w:pPr>
        <w:pStyle w:val="ListParagraph"/>
        <w:numPr>
          <w:ilvl w:val="0"/>
          <w:numId w:val="2"/>
        </w:numPr>
      </w:pPr>
      <w:r>
        <w:t>Access to all relevant commissioned specialised treatments.</w:t>
      </w:r>
    </w:p>
    <w:p w14:paraId="57E3B1AE" w14:textId="0CAA2F7E" w:rsidR="007325F8" w:rsidRPr="007325F8" w:rsidRDefault="007325F8" w:rsidP="007325F8">
      <w:pPr>
        <w:pStyle w:val="ListParagraph"/>
        <w:numPr>
          <w:ilvl w:val="0"/>
          <w:numId w:val="2"/>
        </w:numPr>
        <w:rPr>
          <w:rFonts w:ascii="Calibri" w:hAnsi="Calibri" w:cs="Calibri"/>
          <w:color w:val="auto"/>
        </w:rPr>
      </w:pPr>
      <w:r>
        <w:t>Access to appropriate treatments including Immunoglobulin and plasma exchange for other neuroinflammatory disorders</w:t>
      </w:r>
    </w:p>
    <w:p w14:paraId="651F6685" w14:textId="6AF643BC" w:rsidR="003B3DB9" w:rsidRDefault="007A3207" w:rsidP="00922DBC">
      <w:pPr>
        <w:pStyle w:val="ListParagraph"/>
        <w:numPr>
          <w:ilvl w:val="0"/>
          <w:numId w:val="2"/>
        </w:numPr>
      </w:pPr>
      <w:r>
        <w:t>N</w:t>
      </w:r>
      <w:r w:rsidR="003B3DB9" w:rsidRPr="0062356B">
        <w:t xml:space="preserve">euroinflammation in-reach advice for inpatients within the regional neurology </w:t>
      </w:r>
      <w:r w:rsidR="00E85953" w:rsidRPr="0062356B">
        <w:t>bed-base</w:t>
      </w:r>
      <w:r w:rsidR="003B3DB9" w:rsidRPr="0062356B">
        <w:t xml:space="preserve">. </w:t>
      </w:r>
    </w:p>
    <w:p w14:paraId="2135EDF7" w14:textId="77777777" w:rsidR="00D83377" w:rsidRDefault="00D83377" w:rsidP="00D83377">
      <w:pPr>
        <w:pStyle w:val="ListParagraph"/>
        <w:numPr>
          <w:ilvl w:val="0"/>
          <w:numId w:val="2"/>
        </w:numPr>
      </w:pPr>
      <w:r>
        <w:t>Access to Neuropsychiatry and Neuropsychology</w:t>
      </w:r>
      <w:r w:rsidRPr="0062356B">
        <w:t xml:space="preserve"> </w:t>
      </w:r>
      <w:r>
        <w:t xml:space="preserve">where required </w:t>
      </w:r>
    </w:p>
    <w:p w14:paraId="510B3280" w14:textId="6838FEED" w:rsidR="002D49E9" w:rsidRDefault="00100E7E" w:rsidP="00677B2D">
      <w:pPr>
        <w:pStyle w:val="ListParagraph"/>
        <w:numPr>
          <w:ilvl w:val="0"/>
          <w:numId w:val="2"/>
        </w:numPr>
      </w:pPr>
      <w:r>
        <w:t>A</w:t>
      </w:r>
      <w:r w:rsidR="002A0064" w:rsidRPr="0062356B">
        <w:t>ccess to Clinical Trials</w:t>
      </w:r>
    </w:p>
    <w:p w14:paraId="19AF9C7C" w14:textId="77777777" w:rsidR="00677B2D" w:rsidRPr="0062356B" w:rsidRDefault="00677B2D" w:rsidP="00677B2D">
      <w:pPr>
        <w:pStyle w:val="ListParagraph"/>
      </w:pPr>
    </w:p>
    <w:p w14:paraId="432F9E80" w14:textId="35557E49" w:rsidR="00892EF0" w:rsidRPr="0062356B" w:rsidRDefault="00892EF0" w:rsidP="00892EF0">
      <w:r w:rsidRPr="0062356B">
        <w:t xml:space="preserve">Quarternary services </w:t>
      </w:r>
      <w:r>
        <w:t>in a subset of Specialised Neurology Centres may</w:t>
      </w:r>
      <w:r w:rsidRPr="0062356B">
        <w:t xml:space="preserve"> offer:</w:t>
      </w:r>
    </w:p>
    <w:p w14:paraId="6EF5F204" w14:textId="77777777" w:rsidR="003B3DB9" w:rsidRPr="0062356B" w:rsidRDefault="003B3DB9" w:rsidP="00922DBC">
      <w:pPr>
        <w:pStyle w:val="ListParagraph"/>
        <w:numPr>
          <w:ilvl w:val="0"/>
          <w:numId w:val="2"/>
        </w:numPr>
      </w:pPr>
      <w:r w:rsidRPr="0062356B">
        <w:t>Autologous Haematopoietic Stem Cell Transplantation</w:t>
      </w:r>
    </w:p>
    <w:p w14:paraId="5730D26F" w14:textId="77777777" w:rsidR="00356ABA" w:rsidRPr="0062356B" w:rsidRDefault="00356ABA" w:rsidP="00922DBC"/>
    <w:p w14:paraId="13E944DC" w14:textId="3472BE78" w:rsidR="007C39CA" w:rsidRPr="0062356B" w:rsidRDefault="001A7057" w:rsidP="00922DBC">
      <w:pPr>
        <w:pStyle w:val="Heading1"/>
      </w:pPr>
      <w:r w:rsidRPr="0062356B">
        <w:rPr>
          <w:rStyle w:val="Heading1Char"/>
          <w:rFonts w:ascii="Arial" w:hAnsi="Arial" w:cs="Arial"/>
          <w:sz w:val="22"/>
          <w:szCs w:val="22"/>
        </w:rPr>
        <w:br w:type="page"/>
      </w:r>
      <w:bookmarkStart w:id="4" w:name="_Toc183522789"/>
      <w:r w:rsidR="0057131D" w:rsidRPr="0062356B">
        <w:rPr>
          <w:rStyle w:val="Heading1Char"/>
          <w:b/>
        </w:rPr>
        <w:lastRenderedPageBreak/>
        <w:t>Neuromuscular Disorders</w:t>
      </w:r>
      <w:r w:rsidR="00EB64CD">
        <w:rPr>
          <w:rStyle w:val="Heading1Char"/>
          <w:b/>
        </w:rPr>
        <w:t xml:space="preserve"> services</w:t>
      </w:r>
      <w:bookmarkEnd w:id="4"/>
    </w:p>
    <w:p w14:paraId="475E6744" w14:textId="25E0716E" w:rsidR="0057131D" w:rsidRPr="0062356B" w:rsidRDefault="0057131D" w:rsidP="00922DBC">
      <w:r w:rsidRPr="0062356B">
        <w:t xml:space="preserve">including </w:t>
      </w:r>
      <w:r w:rsidR="00356ABA" w:rsidRPr="0062356B">
        <w:t xml:space="preserve">services for Motor Neurone Disorders, </w:t>
      </w:r>
      <w:r w:rsidRPr="0062356B">
        <w:t>Muscle</w:t>
      </w:r>
      <w:r w:rsidR="00356ABA" w:rsidRPr="0062356B">
        <w:t xml:space="preserve"> Diseases</w:t>
      </w:r>
      <w:r w:rsidRPr="0062356B">
        <w:t xml:space="preserve">, Myasthenia, </w:t>
      </w:r>
      <w:r w:rsidR="00356ABA" w:rsidRPr="0062356B">
        <w:t xml:space="preserve">and </w:t>
      </w:r>
      <w:r w:rsidRPr="0062356B">
        <w:t xml:space="preserve">Peripheral </w:t>
      </w:r>
      <w:r w:rsidR="00356ABA" w:rsidRPr="0062356B">
        <w:t xml:space="preserve">Nerve Diseases. </w:t>
      </w:r>
    </w:p>
    <w:p w14:paraId="0A545AFB" w14:textId="77777777" w:rsidR="00356ABA" w:rsidRPr="0062356B" w:rsidRDefault="00356ABA" w:rsidP="00922DBC"/>
    <w:p w14:paraId="6C109BC2" w14:textId="32EC74F4" w:rsidR="00356ABA" w:rsidRPr="0062356B" w:rsidRDefault="00356ABA" w:rsidP="00922DBC">
      <w:r w:rsidRPr="0062356B">
        <w:t xml:space="preserve">Within each </w:t>
      </w:r>
      <w:r w:rsidR="002D49E9">
        <w:t>Integrated Care System</w:t>
      </w:r>
      <w:r w:rsidRPr="0062356B">
        <w:t xml:space="preserve"> secondary care services should ensure:  </w:t>
      </w:r>
    </w:p>
    <w:p w14:paraId="3D125C78" w14:textId="76986940" w:rsidR="00CA6A20" w:rsidRPr="0062356B" w:rsidRDefault="00356ABA" w:rsidP="00922DBC">
      <w:pPr>
        <w:pStyle w:val="ListParagraph"/>
        <w:numPr>
          <w:ilvl w:val="0"/>
          <w:numId w:val="1"/>
        </w:numPr>
      </w:pPr>
      <w:r w:rsidRPr="0062356B">
        <w:t>A</w:t>
      </w:r>
      <w:r w:rsidR="00CA6A20" w:rsidRPr="0062356B">
        <w:t>ccess to neurologists who can diagnose and explain MND and neuromuscular disorders</w:t>
      </w:r>
      <w:r w:rsidR="0062356B" w:rsidRPr="0062356B">
        <w:t xml:space="preserve"> </w:t>
      </w:r>
      <w:r w:rsidR="00CA6A20" w:rsidRPr="0062356B">
        <w:t xml:space="preserve">who can initiate </w:t>
      </w:r>
      <w:r w:rsidRPr="0062356B">
        <w:t xml:space="preserve">treatment and </w:t>
      </w:r>
      <w:r w:rsidR="00CA6A20" w:rsidRPr="0062356B">
        <w:t xml:space="preserve">signpost to support and services. </w:t>
      </w:r>
    </w:p>
    <w:p w14:paraId="04724868" w14:textId="64DA7AC2" w:rsidR="00CA6A20" w:rsidRPr="0062356B" w:rsidRDefault="00356ABA" w:rsidP="00922DBC">
      <w:pPr>
        <w:pStyle w:val="ListParagraph"/>
        <w:numPr>
          <w:ilvl w:val="0"/>
          <w:numId w:val="1"/>
        </w:numPr>
      </w:pPr>
      <w:r w:rsidRPr="0062356B">
        <w:t>A</w:t>
      </w:r>
      <w:r w:rsidR="00CA6A20" w:rsidRPr="0062356B">
        <w:t xml:space="preserve">ccess to </w:t>
      </w:r>
      <w:r w:rsidR="00100E7E">
        <w:t xml:space="preserve">basic </w:t>
      </w:r>
      <w:r w:rsidR="00CA6A20" w:rsidRPr="0062356B">
        <w:t xml:space="preserve">investigations that might be needed as part of the diagnostic process (imaging, neurophysiology, CSF studies). </w:t>
      </w:r>
    </w:p>
    <w:p w14:paraId="2F5064F8" w14:textId="7E687ED1" w:rsidR="00CA6A20" w:rsidRPr="0062356B" w:rsidRDefault="00356ABA" w:rsidP="00922DBC">
      <w:pPr>
        <w:pStyle w:val="ListParagraph"/>
        <w:numPr>
          <w:ilvl w:val="0"/>
          <w:numId w:val="1"/>
        </w:numPr>
      </w:pPr>
      <w:r w:rsidRPr="0062356B">
        <w:t xml:space="preserve">Sufficient </w:t>
      </w:r>
      <w:r w:rsidR="00CA6A20" w:rsidRPr="0062356B">
        <w:t>capacity to offer appropriate follow-up where required </w:t>
      </w:r>
    </w:p>
    <w:p w14:paraId="415E2EF9" w14:textId="1CA64E73" w:rsidR="00CA6A20" w:rsidRPr="0062356B" w:rsidRDefault="00D1205E" w:rsidP="00922DBC">
      <w:pPr>
        <w:pStyle w:val="ListParagraph"/>
        <w:numPr>
          <w:ilvl w:val="0"/>
          <w:numId w:val="1"/>
        </w:numPr>
      </w:pPr>
      <w:r>
        <w:t>Pathways are in place to d</w:t>
      </w:r>
      <w:r w:rsidR="00CA6A20" w:rsidRPr="0062356B">
        <w:t xml:space="preserve">iscuss patients and access advice from </w:t>
      </w:r>
      <w:r w:rsidR="00356ABA" w:rsidRPr="0062356B">
        <w:t xml:space="preserve">specialist </w:t>
      </w:r>
      <w:r w:rsidR="00CA6A20" w:rsidRPr="0062356B">
        <w:t xml:space="preserve">regional </w:t>
      </w:r>
      <w:r w:rsidR="00356ABA" w:rsidRPr="0062356B">
        <w:t xml:space="preserve">neuromuscular </w:t>
      </w:r>
      <w:r w:rsidR="00CA6A20" w:rsidRPr="0062356B">
        <w:t>services either through local provision</w:t>
      </w:r>
      <w:r w:rsidR="003B3DB9" w:rsidRPr="0062356B">
        <w:t xml:space="preserve"> / outreach</w:t>
      </w:r>
      <w:r w:rsidR="00CA6A20" w:rsidRPr="0062356B">
        <w:t xml:space="preserve"> </w:t>
      </w:r>
      <w:r w:rsidR="0062387A">
        <w:t>o</w:t>
      </w:r>
      <w:r w:rsidR="00CA6A20" w:rsidRPr="0062356B">
        <w:t xml:space="preserve">r a clear pathway for referral </w:t>
      </w:r>
      <w:r w:rsidR="00356ABA" w:rsidRPr="0062356B">
        <w:t xml:space="preserve">to </w:t>
      </w:r>
      <w:r w:rsidR="0062387A">
        <w:t xml:space="preserve">a </w:t>
      </w:r>
      <w:r w:rsidR="00356ABA" w:rsidRPr="0062356B">
        <w:t xml:space="preserve">regional Specialised Neurology Centre </w:t>
      </w:r>
      <w:r w:rsidR="00CA6A20" w:rsidRPr="0062356B">
        <w:t xml:space="preserve">for specialist MND, myasthenia, muscle or peripheral nerve services. </w:t>
      </w:r>
    </w:p>
    <w:p w14:paraId="5B4B0443" w14:textId="10C9E53A" w:rsidR="00CA6A20" w:rsidRPr="0062356B" w:rsidRDefault="0058156A" w:rsidP="00922DBC">
      <w:pPr>
        <w:pStyle w:val="ListParagraph"/>
        <w:numPr>
          <w:ilvl w:val="0"/>
          <w:numId w:val="2"/>
        </w:numPr>
      </w:pPr>
      <w:r w:rsidRPr="0062356B">
        <w:t>A</w:t>
      </w:r>
      <w:r w:rsidR="00356ABA" w:rsidRPr="0062356B">
        <w:t xml:space="preserve">ccess to </w:t>
      </w:r>
      <w:r w:rsidR="00CA6A20" w:rsidRPr="0062356B">
        <w:t xml:space="preserve">local </w:t>
      </w:r>
      <w:r w:rsidRPr="0062356B">
        <w:t>MDT</w:t>
      </w:r>
      <w:r w:rsidR="0062387A">
        <w:t>s</w:t>
      </w:r>
      <w:r w:rsidRPr="0062356B">
        <w:t xml:space="preserve"> </w:t>
      </w:r>
      <w:r w:rsidR="00356ABA" w:rsidRPr="0062356B">
        <w:t>with community services</w:t>
      </w:r>
      <w:r w:rsidRPr="0062356B">
        <w:t>, with pathways established for community</w:t>
      </w:r>
      <w:r w:rsidR="00356ABA" w:rsidRPr="0062356B">
        <w:t xml:space="preserve"> care</w:t>
      </w:r>
      <w:r w:rsidRPr="0062356B">
        <w:t xml:space="preserve">, social </w:t>
      </w:r>
      <w:r w:rsidR="00356ABA" w:rsidRPr="0062356B">
        <w:t xml:space="preserve">care </w:t>
      </w:r>
      <w:r w:rsidRPr="0062356B">
        <w:t xml:space="preserve">and voluntary sector </w:t>
      </w:r>
      <w:r w:rsidR="00356ABA" w:rsidRPr="0062356B">
        <w:t>support</w:t>
      </w:r>
      <w:r w:rsidRPr="0062356B">
        <w:t xml:space="preserve">. </w:t>
      </w:r>
    </w:p>
    <w:p w14:paraId="49291642" w14:textId="1EB43E0F" w:rsidR="0058156A" w:rsidRDefault="0062387A" w:rsidP="00922DBC">
      <w:pPr>
        <w:pStyle w:val="ListParagraph"/>
        <w:numPr>
          <w:ilvl w:val="0"/>
          <w:numId w:val="2"/>
        </w:numPr>
      </w:pPr>
      <w:r>
        <w:t>T</w:t>
      </w:r>
      <w:r w:rsidR="00CA6A20" w:rsidRPr="0062356B">
        <w:t xml:space="preserve">he </w:t>
      </w:r>
      <w:r w:rsidR="0058156A" w:rsidRPr="0062356B">
        <w:t xml:space="preserve">multidisciplinary team should </w:t>
      </w:r>
      <w:r w:rsidR="00D1205E">
        <w:t xml:space="preserve">work closely with community neurotherapy teams </w:t>
      </w:r>
      <w:r w:rsidR="006B54E8">
        <w:t xml:space="preserve">providing </w:t>
      </w:r>
      <w:r w:rsidR="0058156A" w:rsidRPr="0062356B">
        <w:t xml:space="preserve">prompt access </w:t>
      </w:r>
      <w:proofErr w:type="gramStart"/>
      <w:r w:rsidR="0058156A" w:rsidRPr="0062356B">
        <w:t>to:</w:t>
      </w:r>
      <w:proofErr w:type="gramEnd"/>
      <w:r w:rsidR="0058156A" w:rsidRPr="0062356B">
        <w:t xml:space="preserve"> </w:t>
      </w:r>
      <w:r w:rsidR="00D1205E">
        <w:t xml:space="preserve">occupational therapy; physiotherapy; speech </w:t>
      </w:r>
      <w:r w:rsidR="006B54E8">
        <w:t xml:space="preserve">&amp; </w:t>
      </w:r>
      <w:r w:rsidR="00D1205E">
        <w:t xml:space="preserve">language therapy; dietetics; </w:t>
      </w:r>
      <w:r w:rsidR="00356ABA" w:rsidRPr="0062356B">
        <w:t>r</w:t>
      </w:r>
      <w:r w:rsidR="00CA6A20" w:rsidRPr="0062356B">
        <w:t xml:space="preserve">espiratory ventilation and cough services; specialist palliative care; dietetics; gastroenterology; </w:t>
      </w:r>
      <w:r w:rsidR="00935CD5" w:rsidRPr="0062356B">
        <w:t>counselling</w:t>
      </w:r>
      <w:r w:rsidR="00935CD5">
        <w:t xml:space="preserve">; psychology and </w:t>
      </w:r>
      <w:r w:rsidR="00CA6A20" w:rsidRPr="0062356B">
        <w:t>social care</w:t>
      </w:r>
      <w:r w:rsidR="006C419E">
        <w:t>.</w:t>
      </w:r>
    </w:p>
    <w:p w14:paraId="4B6ACFE5" w14:textId="5BB6679F" w:rsidR="0062387A" w:rsidRDefault="0062387A" w:rsidP="00922DBC">
      <w:pPr>
        <w:pStyle w:val="ListParagraph"/>
        <w:numPr>
          <w:ilvl w:val="0"/>
          <w:numId w:val="2"/>
        </w:numPr>
      </w:pPr>
      <w:r w:rsidRPr="0062356B">
        <w:t>Provide people with MND regular follow-up with an MDT member at clinically appropriate intervals with regular surveillance of respiratory function, nutritional state (including weight) and bulbar function</w:t>
      </w:r>
    </w:p>
    <w:p w14:paraId="693F752F" w14:textId="3B872076" w:rsidR="002D49E9" w:rsidRPr="0062356B" w:rsidRDefault="002D49E9" w:rsidP="002D49E9">
      <w:r w:rsidRPr="0062356B">
        <w:t xml:space="preserve">As a minimum, in addition to the above, Specialised Neurology Centres </w:t>
      </w:r>
      <w:r w:rsidR="0062387A">
        <w:t>must</w:t>
      </w:r>
      <w:r w:rsidRPr="0062356B">
        <w:t>:</w:t>
      </w:r>
    </w:p>
    <w:p w14:paraId="783B1555" w14:textId="20C2B784" w:rsidR="00CA6A20" w:rsidRPr="0062356B" w:rsidRDefault="00CA6A20" w:rsidP="00922DBC">
      <w:pPr>
        <w:pStyle w:val="ListParagraph"/>
        <w:numPr>
          <w:ilvl w:val="0"/>
          <w:numId w:val="2"/>
        </w:numPr>
      </w:pPr>
      <w:r w:rsidRPr="0062356B">
        <w:t xml:space="preserve">Have specialist diagnostic and treatment services in place for rare muscle diseases, peripheral nerve diseases, myasthenic syndromes and motor neurone disorders. </w:t>
      </w:r>
    </w:p>
    <w:p w14:paraId="6BA1D147" w14:textId="0CFACB34" w:rsidR="007426F9" w:rsidRPr="0062356B" w:rsidRDefault="003741A7" w:rsidP="00922DBC">
      <w:pPr>
        <w:pStyle w:val="ListParagraph"/>
        <w:numPr>
          <w:ilvl w:val="0"/>
          <w:numId w:val="2"/>
        </w:numPr>
      </w:pPr>
      <w:r w:rsidRPr="0062356B">
        <w:t xml:space="preserve">Offer </w:t>
      </w:r>
      <w:r w:rsidR="00CA6A20" w:rsidRPr="0062356B">
        <w:t xml:space="preserve">at least </w:t>
      </w:r>
      <w:r w:rsidRPr="0062356B">
        <w:t xml:space="preserve">annual review with </w:t>
      </w:r>
      <w:r w:rsidR="00CA6A20" w:rsidRPr="0062356B">
        <w:t xml:space="preserve">an </w:t>
      </w:r>
      <w:r w:rsidRPr="0062356B">
        <w:t xml:space="preserve">MDT </w:t>
      </w:r>
      <w:r w:rsidR="00CA6A20" w:rsidRPr="0062356B">
        <w:t xml:space="preserve">member </w:t>
      </w:r>
      <w:r w:rsidRPr="0062356B">
        <w:t>for</w:t>
      </w:r>
      <w:r w:rsidR="00356ABA" w:rsidRPr="0062356B">
        <w:t xml:space="preserve"> people with</w:t>
      </w:r>
      <w:r w:rsidRPr="0062356B">
        <w:t xml:space="preserve"> </w:t>
      </w:r>
      <w:r w:rsidR="00CA6A20" w:rsidRPr="0062356B">
        <w:t xml:space="preserve">chronic </w:t>
      </w:r>
      <w:r w:rsidR="00787E32" w:rsidRPr="0062356B">
        <w:t xml:space="preserve">progressive </w:t>
      </w:r>
      <w:r w:rsidRPr="0062356B">
        <w:t>neuromuscular condition</w:t>
      </w:r>
      <w:r w:rsidR="00CA6A20" w:rsidRPr="0062356B">
        <w:t>s, and more frequently if required.</w:t>
      </w:r>
      <w:r w:rsidR="00F84EB7">
        <w:t xml:space="preserve"> This annual review </w:t>
      </w:r>
      <w:r w:rsidR="0062387A">
        <w:t>can</w:t>
      </w:r>
      <w:r w:rsidR="00F84EB7">
        <w:t xml:space="preserve"> occur in secondary care or tertiary care, depending on need. </w:t>
      </w:r>
    </w:p>
    <w:p w14:paraId="7B9C1FE8" w14:textId="6FF2B565" w:rsidR="007426F9" w:rsidRDefault="007426F9" w:rsidP="00922DBC">
      <w:pPr>
        <w:pStyle w:val="ListParagraph"/>
        <w:numPr>
          <w:ilvl w:val="0"/>
          <w:numId w:val="2"/>
        </w:numPr>
      </w:pPr>
      <w:r w:rsidRPr="0062356B">
        <w:t>Have mechanisms in place for rapid review during periods of disease instability (e.g.</w:t>
      </w:r>
      <w:r w:rsidR="00787E32" w:rsidRPr="0062356B">
        <w:t xml:space="preserve"> for </w:t>
      </w:r>
      <w:r w:rsidRPr="0062356B">
        <w:t>myasthenia gravis</w:t>
      </w:r>
      <w:r w:rsidR="00787E32" w:rsidRPr="0062356B">
        <w:t xml:space="preserve"> </w:t>
      </w:r>
      <w:r w:rsidR="008C32ED">
        <w:t>crisis)</w:t>
      </w:r>
      <w:r w:rsidRPr="0062356B">
        <w:t xml:space="preserve"> </w:t>
      </w:r>
    </w:p>
    <w:p w14:paraId="3CB7E9BE" w14:textId="7D97B49C" w:rsidR="003741A7" w:rsidRPr="0062356B" w:rsidRDefault="003741A7" w:rsidP="00922DBC">
      <w:pPr>
        <w:pStyle w:val="ListParagraph"/>
        <w:numPr>
          <w:ilvl w:val="0"/>
          <w:numId w:val="2"/>
        </w:numPr>
      </w:pPr>
      <w:r w:rsidRPr="0062356B">
        <w:t xml:space="preserve">Ensure pathways are in place for </w:t>
      </w:r>
      <w:r w:rsidR="00CA6A20" w:rsidRPr="0062356B">
        <w:t xml:space="preserve">respiratory </w:t>
      </w:r>
      <w:r w:rsidR="00787E32" w:rsidRPr="0062356B">
        <w:t xml:space="preserve">review </w:t>
      </w:r>
      <w:r w:rsidR="00CA6A20" w:rsidRPr="0062356B">
        <w:t>and home ventilation,</w:t>
      </w:r>
      <w:r w:rsidR="00787E32" w:rsidRPr="0062356B">
        <w:t xml:space="preserve"> cardiology review,</w:t>
      </w:r>
      <w:r w:rsidR="00CA6A20" w:rsidRPr="0062356B">
        <w:t xml:space="preserve"> gastroenterology</w:t>
      </w:r>
      <w:r w:rsidR="00787E32" w:rsidRPr="0062356B">
        <w:t xml:space="preserve"> review</w:t>
      </w:r>
      <w:r w:rsidR="00CA6A20" w:rsidRPr="0062356B">
        <w:t xml:space="preserve">, </w:t>
      </w:r>
      <w:r w:rsidR="00180119" w:rsidRPr="0062356B">
        <w:t xml:space="preserve">and </w:t>
      </w:r>
      <w:r w:rsidR="00CA6A20" w:rsidRPr="0062356B">
        <w:t>endocrinology services</w:t>
      </w:r>
      <w:r w:rsidR="00787E32" w:rsidRPr="0062356B">
        <w:t xml:space="preserve"> where required</w:t>
      </w:r>
    </w:p>
    <w:p w14:paraId="0D1A1F10" w14:textId="52A12DE4" w:rsidR="0058156A" w:rsidRPr="0062356B" w:rsidRDefault="00180119" w:rsidP="00922DBC">
      <w:pPr>
        <w:pStyle w:val="ListParagraph"/>
        <w:numPr>
          <w:ilvl w:val="0"/>
          <w:numId w:val="2"/>
        </w:numPr>
      </w:pPr>
      <w:r w:rsidRPr="0062356B">
        <w:t xml:space="preserve">Ensure availability of a </w:t>
      </w:r>
      <w:r w:rsidR="0062387A">
        <w:t xml:space="preserve">specialist </w:t>
      </w:r>
      <w:r w:rsidR="0058156A" w:rsidRPr="0062356B">
        <w:t xml:space="preserve">MDT, </w:t>
      </w:r>
      <w:proofErr w:type="gramStart"/>
      <w:r w:rsidR="0058156A" w:rsidRPr="0062356B">
        <w:t>including</w:t>
      </w:r>
      <w:r w:rsidR="00892EF0">
        <w:t>:</w:t>
      </w:r>
      <w:proofErr w:type="gramEnd"/>
      <w:r w:rsidR="0058156A" w:rsidRPr="0062356B">
        <w:t xml:space="preserve"> neurologist, specialist nurse, dietitian, physiotherapist, occupational therapist, </w:t>
      </w:r>
      <w:r w:rsidR="00892EF0">
        <w:t xml:space="preserve">speech &amp; language therapist, </w:t>
      </w:r>
      <w:r w:rsidR="0058156A" w:rsidRPr="0062356B">
        <w:t xml:space="preserve">respiratory physiologist, </w:t>
      </w:r>
      <w:r w:rsidR="00072F9A">
        <w:t xml:space="preserve">pharmacist </w:t>
      </w:r>
      <w:r w:rsidR="00892EF0">
        <w:t xml:space="preserve">and </w:t>
      </w:r>
      <w:r w:rsidR="0058156A" w:rsidRPr="0062356B">
        <w:t>palliative care</w:t>
      </w:r>
      <w:r w:rsidR="006B54E8">
        <w:t xml:space="preserve"> </w:t>
      </w:r>
      <w:proofErr w:type="spellStart"/>
      <w:r w:rsidR="006B54E8">
        <w:t>expertis</w:t>
      </w:r>
      <w:proofErr w:type="spellEnd"/>
      <w:r w:rsidR="00072F9A">
        <w:t xml:space="preserve"> as required. </w:t>
      </w:r>
    </w:p>
    <w:p w14:paraId="5E7AC201" w14:textId="69D0F849" w:rsidR="00356ABA" w:rsidRDefault="00F0621B" w:rsidP="00922DBC">
      <w:pPr>
        <w:pStyle w:val="ListParagraph"/>
        <w:numPr>
          <w:ilvl w:val="0"/>
          <w:numId w:val="2"/>
        </w:numPr>
      </w:pPr>
      <w:r>
        <w:t>Facilitate j</w:t>
      </w:r>
      <w:r w:rsidR="00356ABA" w:rsidRPr="0062356B">
        <w:t xml:space="preserve">oint care with </w:t>
      </w:r>
      <w:r w:rsidR="00D83377" w:rsidRPr="0062356B">
        <w:t>quaternary</w:t>
      </w:r>
      <w:r w:rsidR="00356ABA" w:rsidRPr="0062356B">
        <w:t xml:space="preserve"> centres where required</w:t>
      </w:r>
    </w:p>
    <w:p w14:paraId="4E515730" w14:textId="5A85207A" w:rsidR="00B740BA" w:rsidRPr="007325F8" w:rsidRDefault="00B740BA" w:rsidP="00B740BA">
      <w:pPr>
        <w:pStyle w:val="ListParagraph"/>
        <w:numPr>
          <w:ilvl w:val="0"/>
          <w:numId w:val="2"/>
        </w:numPr>
        <w:rPr>
          <w:rFonts w:ascii="Calibri" w:hAnsi="Calibri" w:cs="Calibri"/>
          <w:color w:val="auto"/>
        </w:rPr>
      </w:pPr>
      <w:r>
        <w:t>Access to appropriate treatments including Immunoglobulin and plasma exchange for neuroinflammatory disorders</w:t>
      </w:r>
    </w:p>
    <w:p w14:paraId="2DA68FA7" w14:textId="17001BBF" w:rsidR="007F5323" w:rsidRDefault="006B54E8" w:rsidP="00922DBC">
      <w:pPr>
        <w:pStyle w:val="ListParagraph"/>
        <w:numPr>
          <w:ilvl w:val="0"/>
          <w:numId w:val="2"/>
        </w:numPr>
      </w:pPr>
      <w:r>
        <w:t>P</w:t>
      </w:r>
      <w:r w:rsidR="00E85953" w:rsidRPr="0062356B">
        <w:t xml:space="preserve">rovide </w:t>
      </w:r>
      <w:r>
        <w:t xml:space="preserve">neuromuscular </w:t>
      </w:r>
      <w:r w:rsidR="00E85953" w:rsidRPr="0062356B">
        <w:t>in-reach advice for inpatients within the regional neurology bed-base.</w:t>
      </w:r>
    </w:p>
    <w:p w14:paraId="55155510" w14:textId="70009670" w:rsidR="00E85953" w:rsidRDefault="0062387A" w:rsidP="00922DBC">
      <w:pPr>
        <w:pStyle w:val="ListParagraph"/>
        <w:numPr>
          <w:ilvl w:val="0"/>
          <w:numId w:val="2"/>
        </w:numPr>
      </w:pPr>
      <w:r>
        <w:t>Provide a</w:t>
      </w:r>
      <w:r w:rsidR="007F5323">
        <w:t>ccess to Neuropsychiatry and Neuropsychology</w:t>
      </w:r>
      <w:r w:rsidR="00E85953" w:rsidRPr="0062356B">
        <w:t xml:space="preserve"> </w:t>
      </w:r>
      <w:r w:rsidR="00677B2D">
        <w:t xml:space="preserve">where required </w:t>
      </w:r>
    </w:p>
    <w:p w14:paraId="2B816C5E" w14:textId="4F4744CD" w:rsidR="00534B72" w:rsidRPr="0062356B" w:rsidRDefault="0062387A" w:rsidP="00922DBC">
      <w:pPr>
        <w:pStyle w:val="ListParagraph"/>
        <w:numPr>
          <w:ilvl w:val="0"/>
          <w:numId w:val="2"/>
        </w:numPr>
      </w:pPr>
      <w:r>
        <w:t xml:space="preserve">Provide access </w:t>
      </w:r>
      <w:r w:rsidR="00534B72">
        <w:t>to n</w:t>
      </w:r>
      <w:r w:rsidR="00534B72" w:rsidRPr="0062356B">
        <w:t xml:space="preserve">eurogenetics </w:t>
      </w:r>
    </w:p>
    <w:p w14:paraId="74A1BF07" w14:textId="563C7248" w:rsidR="00892EF0" w:rsidRPr="0062356B" w:rsidRDefault="0062387A" w:rsidP="00892EF0">
      <w:pPr>
        <w:pStyle w:val="ListParagraph"/>
        <w:numPr>
          <w:ilvl w:val="0"/>
          <w:numId w:val="2"/>
        </w:numPr>
      </w:pPr>
      <w:r>
        <w:t xml:space="preserve">Provide access </w:t>
      </w:r>
      <w:r w:rsidR="00892EF0" w:rsidRPr="0062356B">
        <w:t>to Clinical Trials</w:t>
      </w:r>
    </w:p>
    <w:p w14:paraId="50C927E5" w14:textId="110C2B64" w:rsidR="00892EF0" w:rsidRDefault="00892EF0" w:rsidP="00892EF0">
      <w:r w:rsidRPr="0062356B">
        <w:t xml:space="preserve">Quarternary services </w:t>
      </w:r>
      <w:r>
        <w:t>in a subset of Specialised Neurology Centres provide</w:t>
      </w:r>
      <w:r w:rsidRPr="0062356B">
        <w:t>:</w:t>
      </w:r>
    </w:p>
    <w:p w14:paraId="47123BBE" w14:textId="7B2F98F2" w:rsidR="001A7057" w:rsidRDefault="00677B2D" w:rsidP="00922DBC">
      <w:pPr>
        <w:pStyle w:val="ListParagraph"/>
        <w:numPr>
          <w:ilvl w:val="0"/>
          <w:numId w:val="2"/>
        </w:numPr>
      </w:pPr>
      <w:r>
        <w:t>Nationally</w:t>
      </w:r>
      <w:r w:rsidR="00892EF0">
        <w:t xml:space="preserve"> commissioned Highly Specialised Services</w:t>
      </w:r>
      <w:r w:rsidR="008F273F">
        <w:t xml:space="preserve"> (listed in the Neurology Service Specification) </w:t>
      </w:r>
    </w:p>
    <w:p w14:paraId="6C829A15" w14:textId="7F0CC71A" w:rsidR="002E05CF" w:rsidRPr="003B10ED" w:rsidRDefault="00892EF0" w:rsidP="00547419">
      <w:pPr>
        <w:pStyle w:val="ListParagraph"/>
        <w:numPr>
          <w:ilvl w:val="0"/>
          <w:numId w:val="2"/>
        </w:numPr>
        <w:spacing w:after="160" w:line="259" w:lineRule="auto"/>
        <w:textAlignment w:val="auto"/>
        <w:rPr>
          <w:rFonts w:asciiTheme="majorHAnsi" w:eastAsiaTheme="majorEastAsia" w:hAnsiTheme="majorHAnsi" w:cstheme="majorBidi"/>
          <w:b/>
          <w:color w:val="002060"/>
          <w:sz w:val="32"/>
          <w:szCs w:val="40"/>
        </w:rPr>
      </w:pPr>
      <w:r>
        <w:t>Diagnostic / treatment services for some rarer neuromuscular conditions</w:t>
      </w:r>
      <w:r w:rsidR="00DC1336">
        <w:t>, e.g. complex / refractory Myasthenia Gravis</w:t>
      </w:r>
      <w:r w:rsidR="003B10ED">
        <w:t xml:space="preserve"> or </w:t>
      </w:r>
      <w:r w:rsidR="005F4AC5">
        <w:t>S</w:t>
      </w:r>
      <w:r w:rsidR="00DC1336">
        <w:t xml:space="preserve">pinal </w:t>
      </w:r>
      <w:r w:rsidR="005F4AC5">
        <w:t>M</w:t>
      </w:r>
      <w:r w:rsidR="00DC1336">
        <w:t xml:space="preserve">uscular </w:t>
      </w:r>
      <w:r w:rsidR="005F4AC5">
        <w:t>A</w:t>
      </w:r>
      <w:r w:rsidR="00DC1336">
        <w:t>trophy</w:t>
      </w:r>
      <w:r w:rsidR="002E05CF">
        <w:br w:type="page"/>
      </w:r>
    </w:p>
    <w:p w14:paraId="7464B97F" w14:textId="38A85590" w:rsidR="008D05EE" w:rsidRPr="0062356B" w:rsidRDefault="007C39CA" w:rsidP="00922DBC">
      <w:pPr>
        <w:pStyle w:val="Heading1"/>
      </w:pPr>
      <w:bookmarkStart w:id="5" w:name="_Toc183522790"/>
      <w:r w:rsidRPr="0062356B">
        <w:lastRenderedPageBreak/>
        <w:t>Functional Neurological Disorders</w:t>
      </w:r>
      <w:r w:rsidR="00EB64CD">
        <w:t xml:space="preserve"> services</w:t>
      </w:r>
      <w:bookmarkEnd w:id="5"/>
    </w:p>
    <w:p w14:paraId="4FEBFA4B" w14:textId="77777777" w:rsidR="00787E32" w:rsidRPr="0062356B" w:rsidRDefault="00787E32" w:rsidP="00922DBC">
      <w:pPr>
        <w:pStyle w:val="ListParagraph"/>
        <w:rPr>
          <w:rStyle w:val="Heading1Char"/>
          <w:rFonts w:ascii="Arial" w:hAnsi="Arial" w:cs="Arial"/>
          <w:sz w:val="22"/>
          <w:szCs w:val="22"/>
        </w:rPr>
      </w:pPr>
    </w:p>
    <w:p w14:paraId="2AEDFF6A" w14:textId="69ACC6C7" w:rsidR="00787E32" w:rsidRPr="0062356B" w:rsidRDefault="00787E32" w:rsidP="00922DBC">
      <w:r w:rsidRPr="0062356B">
        <w:t xml:space="preserve">Within each </w:t>
      </w:r>
      <w:r w:rsidR="002D49E9">
        <w:t>Integrated Care System</w:t>
      </w:r>
      <w:r w:rsidRPr="0062356B">
        <w:t xml:space="preserve"> secondary care services should ensure: </w:t>
      </w:r>
    </w:p>
    <w:p w14:paraId="79D40F99" w14:textId="0EB0F086" w:rsidR="008D05EE" w:rsidRPr="0062356B" w:rsidRDefault="00787E32" w:rsidP="00922DBC">
      <w:pPr>
        <w:pStyle w:val="ListParagraph"/>
        <w:numPr>
          <w:ilvl w:val="0"/>
          <w:numId w:val="1"/>
        </w:numPr>
      </w:pPr>
      <w:r w:rsidRPr="0062356B">
        <w:t>A</w:t>
      </w:r>
      <w:r w:rsidR="008D05EE" w:rsidRPr="0062356B">
        <w:t xml:space="preserve">ccess to </w:t>
      </w:r>
      <w:r w:rsidR="003B16B8" w:rsidRPr="0062356B">
        <w:t>neurologists</w:t>
      </w:r>
      <w:r w:rsidR="008D05EE" w:rsidRPr="0062356B">
        <w:t xml:space="preserve"> who can diagnose and explain FND, and who can initiate or signpost to first line management</w:t>
      </w:r>
    </w:p>
    <w:p w14:paraId="57675FCF" w14:textId="04055ACE" w:rsidR="008D05EE" w:rsidRPr="0062356B" w:rsidRDefault="00787E32" w:rsidP="00922DBC">
      <w:pPr>
        <w:pStyle w:val="ListParagraph"/>
        <w:numPr>
          <w:ilvl w:val="0"/>
          <w:numId w:val="1"/>
        </w:numPr>
      </w:pPr>
      <w:r w:rsidRPr="0062356B">
        <w:t>A</w:t>
      </w:r>
      <w:r w:rsidR="008D05EE" w:rsidRPr="0062356B">
        <w:t>ccess to investigations that might be needed as part of the diagnostic process</w:t>
      </w:r>
    </w:p>
    <w:p w14:paraId="33D37286" w14:textId="551B8336" w:rsidR="008D05EE" w:rsidRPr="0062356B" w:rsidRDefault="00787E32" w:rsidP="00922DBC">
      <w:pPr>
        <w:pStyle w:val="ListParagraph"/>
        <w:numPr>
          <w:ilvl w:val="0"/>
          <w:numId w:val="1"/>
        </w:numPr>
      </w:pPr>
      <w:r w:rsidRPr="0062356B">
        <w:t>C</w:t>
      </w:r>
      <w:r w:rsidR="008D05EE" w:rsidRPr="0062356B">
        <w:t xml:space="preserve">apacity to offer at least one follow-up appointment, and </w:t>
      </w:r>
      <w:proofErr w:type="gramStart"/>
      <w:r w:rsidR="008D05EE" w:rsidRPr="0062356B">
        <w:t>longer term</w:t>
      </w:r>
      <w:proofErr w:type="gramEnd"/>
      <w:r w:rsidR="008D05EE" w:rsidRPr="0062356B">
        <w:t xml:space="preserve"> follow-up where required </w:t>
      </w:r>
    </w:p>
    <w:p w14:paraId="51DD4EDA" w14:textId="6343031A" w:rsidR="008D05EE" w:rsidRPr="0062356B" w:rsidRDefault="00787E32" w:rsidP="00922DBC">
      <w:pPr>
        <w:pStyle w:val="ListParagraph"/>
        <w:numPr>
          <w:ilvl w:val="0"/>
          <w:numId w:val="1"/>
        </w:numPr>
      </w:pPr>
      <w:r w:rsidRPr="0062356B">
        <w:t xml:space="preserve">Processes </w:t>
      </w:r>
      <w:r w:rsidR="008D05EE" w:rsidRPr="0062356B">
        <w:t>to discuss patients and access advice from a regional FND subspecialty team e.g. via regular FND multidisciplinary team meetings</w:t>
      </w:r>
    </w:p>
    <w:p w14:paraId="320846A5" w14:textId="761D897B" w:rsidR="002D49E9" w:rsidRPr="0062356B" w:rsidRDefault="002D49E9" w:rsidP="002D49E9">
      <w:r w:rsidRPr="0062356B">
        <w:t>As a minimum, in addition to the above, Specialised Neurology Centres should offer:</w:t>
      </w:r>
    </w:p>
    <w:p w14:paraId="19B8E268" w14:textId="6C47C390" w:rsidR="008D05EE" w:rsidRPr="0062356B" w:rsidRDefault="008D05EE" w:rsidP="00922DBC">
      <w:pPr>
        <w:pStyle w:val="ListParagraph"/>
        <w:numPr>
          <w:ilvl w:val="0"/>
          <w:numId w:val="2"/>
        </w:numPr>
      </w:pPr>
      <w:r w:rsidRPr="0062356B">
        <w:t>A specialist FND clinic (run by clinicians in an appropriate specialty e.g. neurology, psychiatry, neurorehab</w:t>
      </w:r>
      <w:r w:rsidR="007C39CA" w:rsidRPr="0062356B">
        <w:t>ilitation</w:t>
      </w:r>
      <w:r w:rsidRPr="0062356B">
        <w:t>) through which further assessment, formulation and treatment planning can be carried out for patients who have not benefited sufficiently from first line management</w:t>
      </w:r>
    </w:p>
    <w:p w14:paraId="2A66B614" w14:textId="3589A1AE" w:rsidR="008E6A2F" w:rsidRDefault="008D05EE" w:rsidP="00922DBC">
      <w:pPr>
        <w:pStyle w:val="ListParagraph"/>
        <w:numPr>
          <w:ilvl w:val="0"/>
          <w:numId w:val="2"/>
        </w:numPr>
      </w:pPr>
      <w:r w:rsidRPr="0062356B">
        <w:t>Access to a multidisciplinary regional FND subspecialty team who can assess and manage second line treatment in an outpatient and/or inpatient setting</w:t>
      </w:r>
      <w:r w:rsidR="00787E32" w:rsidRPr="0062356B">
        <w:t xml:space="preserve"> as required.</w:t>
      </w:r>
      <w:r w:rsidR="00677B2D">
        <w:t xml:space="preserve"> This should include neuropsychiatry and psychology input</w:t>
      </w:r>
      <w:r w:rsidR="00ED28FB">
        <w:t>.</w:t>
      </w:r>
    </w:p>
    <w:p w14:paraId="64D2740A" w14:textId="13D68A8E" w:rsidR="008D05EE" w:rsidRDefault="008E6A2F" w:rsidP="00922DBC">
      <w:pPr>
        <w:pStyle w:val="ListParagraph"/>
        <w:numPr>
          <w:ilvl w:val="0"/>
          <w:numId w:val="2"/>
        </w:numPr>
      </w:pPr>
      <w:r>
        <w:t>Referral to appropriate rehabilitation pathways, including physiotherapy input.</w:t>
      </w:r>
    </w:p>
    <w:p w14:paraId="71B279D3" w14:textId="77777777" w:rsidR="00677B2D" w:rsidRPr="0062356B" w:rsidRDefault="00677B2D" w:rsidP="00677B2D">
      <w:pPr>
        <w:pStyle w:val="ListParagraph"/>
      </w:pPr>
    </w:p>
    <w:p w14:paraId="56472045" w14:textId="77777777" w:rsidR="002E05CF" w:rsidRPr="0062356B" w:rsidRDefault="002E05CF" w:rsidP="002E05CF">
      <w:r w:rsidRPr="0062356B">
        <w:t>Mental health care</w:t>
      </w:r>
      <w:r>
        <w:t>:</w:t>
      </w:r>
    </w:p>
    <w:p w14:paraId="10DAACE2" w14:textId="6126D1BF" w:rsidR="009C7862" w:rsidRPr="0062356B" w:rsidRDefault="008D05EE" w:rsidP="00922DBC">
      <w:pPr>
        <w:pStyle w:val="ListParagraph"/>
        <w:numPr>
          <w:ilvl w:val="0"/>
          <w:numId w:val="5"/>
        </w:numPr>
        <w:rPr>
          <w:b/>
          <w:bCs/>
        </w:rPr>
      </w:pPr>
      <w:r w:rsidRPr="0062356B">
        <w:t xml:space="preserve">All patients should have access to appropriate mental health </w:t>
      </w:r>
      <w:r w:rsidR="009C7862" w:rsidRPr="0062356B">
        <w:t xml:space="preserve">assessment and treatment </w:t>
      </w:r>
      <w:r w:rsidRPr="0062356B">
        <w:t xml:space="preserve">including, where needed, </w:t>
      </w:r>
      <w:r w:rsidR="00787E32" w:rsidRPr="0062356B">
        <w:t xml:space="preserve">access to </w:t>
      </w:r>
      <w:r w:rsidRPr="0062356B">
        <w:t xml:space="preserve">assessment </w:t>
      </w:r>
      <w:r w:rsidR="009C7862" w:rsidRPr="0062356B">
        <w:t xml:space="preserve">and/or treatment </w:t>
      </w:r>
      <w:r w:rsidRPr="0062356B">
        <w:t>by a psychiatrist</w:t>
      </w:r>
      <w:r w:rsidR="008E6A2F">
        <w:t xml:space="preserve"> and/or psychologist</w:t>
      </w:r>
      <w:r w:rsidR="009C7862" w:rsidRPr="0062356B">
        <w:t xml:space="preserve"> </w:t>
      </w:r>
      <w:r w:rsidRPr="0062356B">
        <w:t xml:space="preserve">with FND expertise </w:t>
      </w:r>
    </w:p>
    <w:p w14:paraId="082606B5" w14:textId="77777777" w:rsidR="008D05EE" w:rsidRPr="0062356B" w:rsidRDefault="008D05EE" w:rsidP="00922DBC"/>
    <w:p w14:paraId="5541B96E" w14:textId="77777777" w:rsidR="008D05EE" w:rsidRPr="0062356B" w:rsidRDefault="008D05EE" w:rsidP="00922DBC"/>
    <w:p w14:paraId="4DCEF985" w14:textId="1263CDD7" w:rsidR="00AB5BBB" w:rsidRPr="0062356B" w:rsidRDefault="000E1130" w:rsidP="00922DBC">
      <w:pPr>
        <w:rPr>
          <w:rStyle w:val="Heading1Char"/>
          <w:rFonts w:ascii="Arial" w:hAnsi="Arial" w:cs="Arial"/>
          <w:sz w:val="22"/>
          <w:szCs w:val="22"/>
        </w:rPr>
      </w:pPr>
      <w:r w:rsidRPr="0062356B">
        <w:br w:type="page"/>
      </w:r>
    </w:p>
    <w:p w14:paraId="47D7C527" w14:textId="7E79DFE1" w:rsidR="005005AB" w:rsidRPr="0062356B" w:rsidRDefault="00CF76E3" w:rsidP="00922DBC">
      <w:pPr>
        <w:pStyle w:val="Heading1"/>
      </w:pPr>
      <w:bookmarkStart w:id="6" w:name="_Toc183522791"/>
      <w:r>
        <w:rPr>
          <w:rStyle w:val="Heading1Char"/>
          <w:b/>
        </w:rPr>
        <w:lastRenderedPageBreak/>
        <w:t>C</w:t>
      </w:r>
      <w:r w:rsidR="0057131D" w:rsidRPr="0062356B">
        <w:rPr>
          <w:rStyle w:val="Heading1Char"/>
          <w:b/>
        </w:rPr>
        <w:t xml:space="preserve">ognitive </w:t>
      </w:r>
      <w:r>
        <w:rPr>
          <w:rStyle w:val="Heading1Char"/>
          <w:b/>
        </w:rPr>
        <w:t>N</w:t>
      </w:r>
      <w:r w:rsidR="0057131D" w:rsidRPr="0062356B">
        <w:rPr>
          <w:rStyle w:val="Heading1Char"/>
          <w:b/>
        </w:rPr>
        <w:t>eurology service</w:t>
      </w:r>
      <w:r w:rsidR="00EB64CD">
        <w:rPr>
          <w:rStyle w:val="Heading1Char"/>
          <w:b/>
        </w:rPr>
        <w:t>s</w:t>
      </w:r>
      <w:bookmarkEnd w:id="6"/>
    </w:p>
    <w:p w14:paraId="2B232748" w14:textId="77777777" w:rsidR="0057131D" w:rsidRDefault="0057131D" w:rsidP="00922DBC"/>
    <w:p w14:paraId="5184EA29" w14:textId="20E01A10" w:rsidR="0062356B" w:rsidRPr="00056402" w:rsidRDefault="0062356B" w:rsidP="00922DBC">
      <w:proofErr w:type="gramStart"/>
      <w:r w:rsidRPr="00056402">
        <w:t>The significant majority of</w:t>
      </w:r>
      <w:proofErr w:type="gramEnd"/>
      <w:r w:rsidRPr="00056402">
        <w:t xml:space="preserve"> cases of dementia (including Alzheimer’s disease, vascular dementia and mixed dementias) will be assessed and managed primarily through memory clinics commissioned through </w:t>
      </w:r>
      <w:r w:rsidR="00FD4414">
        <w:t xml:space="preserve">NHS </w:t>
      </w:r>
      <w:r w:rsidRPr="00056402">
        <w:t xml:space="preserve">Mental Health services. </w:t>
      </w:r>
    </w:p>
    <w:p w14:paraId="7E4DB685" w14:textId="7EA0A688" w:rsidR="0062356B" w:rsidRPr="00056402" w:rsidRDefault="0062356B" w:rsidP="00922DBC">
      <w:r w:rsidRPr="00056402">
        <w:t xml:space="preserve">However, early or complex cognitive presentations may be better supported by cognitive neurology services, and patients with a wide range of neurological conditions </w:t>
      </w:r>
      <w:r w:rsidR="00FD4414">
        <w:t>may</w:t>
      </w:r>
      <w:r w:rsidRPr="00056402">
        <w:t xml:space="preserve"> have complex cognitive issues</w:t>
      </w:r>
      <w:r w:rsidR="00FD4414">
        <w:t>. Specialist Cognitive Neurology services are required for this cohort</w:t>
      </w:r>
      <w:r w:rsidR="00DE2BC0">
        <w:t xml:space="preserve">. </w:t>
      </w:r>
    </w:p>
    <w:p w14:paraId="2F054E78" w14:textId="6FD8DFC9" w:rsidR="0010235A" w:rsidRPr="0062356B" w:rsidRDefault="0010235A" w:rsidP="00922DBC">
      <w:r w:rsidRPr="0062356B">
        <w:rPr>
          <w:b/>
          <w:bCs/>
        </w:rPr>
        <w:t>Specialised Cognitive Neurology services</w:t>
      </w:r>
      <w:r w:rsidRPr="0062356B">
        <w:t xml:space="preserve"> should be available in all Specialised Neurology Centres. </w:t>
      </w:r>
      <w:r w:rsidR="005005AB" w:rsidRPr="0062356B">
        <w:t>These services should provide:</w:t>
      </w:r>
      <w:r w:rsidRPr="0062356B">
        <w:t xml:space="preserve"> </w:t>
      </w:r>
    </w:p>
    <w:p w14:paraId="1C203B75" w14:textId="3DB6A99A" w:rsidR="0010235A" w:rsidRPr="0062356B" w:rsidRDefault="0010235A" w:rsidP="00922DBC">
      <w:pPr>
        <w:pStyle w:val="ListParagraph"/>
        <w:numPr>
          <w:ilvl w:val="0"/>
          <w:numId w:val="2"/>
        </w:numPr>
      </w:pPr>
      <w:r w:rsidRPr="0062356B">
        <w:t>Diagnosis and initial management of young-onset and atypical dementias including those suspected to be due to genetic causes</w:t>
      </w:r>
    </w:p>
    <w:p w14:paraId="1B95A8BC" w14:textId="66171184" w:rsidR="0010235A" w:rsidRPr="0062356B" w:rsidRDefault="0010235A" w:rsidP="00922DBC">
      <w:pPr>
        <w:pStyle w:val="ListParagraph"/>
        <w:numPr>
          <w:ilvl w:val="0"/>
          <w:numId w:val="2"/>
        </w:numPr>
      </w:pPr>
      <w:r w:rsidRPr="0062356B">
        <w:t>Diagnosis</w:t>
      </w:r>
      <w:r w:rsidR="005005AB" w:rsidRPr="0062356B">
        <w:t>,</w:t>
      </w:r>
      <w:r w:rsidRPr="0062356B">
        <w:t xml:space="preserve"> and where appropriate management</w:t>
      </w:r>
      <w:r w:rsidR="005005AB" w:rsidRPr="0062356B">
        <w:t>,</w:t>
      </w:r>
      <w:r w:rsidRPr="0062356B">
        <w:t xml:space="preserve"> of non-dementia cognitive disorders </w:t>
      </w:r>
      <w:r w:rsidR="009E7EDE" w:rsidRPr="0062356B">
        <w:t xml:space="preserve">associated with, for example, </w:t>
      </w:r>
      <w:r w:rsidRPr="0062356B">
        <w:t>encephalitis, epilepsy, neuro-inflammatory disorders, static</w:t>
      </w:r>
      <w:r w:rsidR="005005AB" w:rsidRPr="0062356B">
        <w:t xml:space="preserve"> acquired</w:t>
      </w:r>
      <w:r w:rsidRPr="0062356B">
        <w:t xml:space="preserve"> brain injuries.</w:t>
      </w:r>
    </w:p>
    <w:p w14:paraId="5776F4BC" w14:textId="0A45C61A" w:rsidR="0010235A" w:rsidRPr="0062356B" w:rsidRDefault="0010235A" w:rsidP="00922DBC">
      <w:pPr>
        <w:pStyle w:val="ListParagraph"/>
        <w:numPr>
          <w:ilvl w:val="0"/>
          <w:numId w:val="2"/>
        </w:numPr>
      </w:pPr>
      <w:r w:rsidRPr="0062356B">
        <w:t xml:space="preserve">Providing advice via an MDT </w:t>
      </w:r>
      <w:r w:rsidR="005005AB" w:rsidRPr="0062356B">
        <w:t xml:space="preserve">arrangement </w:t>
      </w:r>
      <w:r w:rsidRPr="0062356B">
        <w:t xml:space="preserve">to memory services </w:t>
      </w:r>
      <w:r w:rsidR="009E7EDE" w:rsidRPr="0062356B">
        <w:t>with</w:t>
      </w:r>
      <w:r w:rsidRPr="0062356B">
        <w:t>in their region and where appropriate facilitating access to molecular diagnostics</w:t>
      </w:r>
    </w:p>
    <w:p w14:paraId="1B9D446C" w14:textId="7723FD27" w:rsidR="0010235A" w:rsidRDefault="0010235A" w:rsidP="00922DBC">
      <w:pPr>
        <w:pStyle w:val="ListParagraph"/>
        <w:numPr>
          <w:ilvl w:val="0"/>
          <w:numId w:val="2"/>
        </w:numPr>
      </w:pPr>
      <w:r w:rsidRPr="0062356B">
        <w:t>Offering cognitive</w:t>
      </w:r>
      <w:r w:rsidR="009E7EDE" w:rsidRPr="0062356B">
        <w:t xml:space="preserve"> neurology</w:t>
      </w:r>
      <w:r w:rsidRPr="0062356B">
        <w:t xml:space="preserve"> in-reach to </w:t>
      </w:r>
      <w:r w:rsidR="009E7EDE" w:rsidRPr="0062356B">
        <w:t xml:space="preserve">inpatients in </w:t>
      </w:r>
      <w:r w:rsidRPr="0062356B">
        <w:t>the regional</w:t>
      </w:r>
      <w:r w:rsidR="005005AB" w:rsidRPr="0062356B">
        <w:t xml:space="preserve"> </w:t>
      </w:r>
      <w:r w:rsidRPr="0062356B">
        <w:t>neurology bed bas</w:t>
      </w:r>
      <w:r w:rsidR="009E7EDE" w:rsidRPr="0062356B">
        <w:t xml:space="preserve">e. </w:t>
      </w:r>
    </w:p>
    <w:p w14:paraId="75705A56" w14:textId="5A51C02D" w:rsidR="007F5323" w:rsidRDefault="007F5323" w:rsidP="00922DBC">
      <w:pPr>
        <w:pStyle w:val="ListParagraph"/>
        <w:numPr>
          <w:ilvl w:val="0"/>
          <w:numId w:val="2"/>
        </w:numPr>
      </w:pPr>
      <w:r>
        <w:t xml:space="preserve">Access to clinical neuropsychology </w:t>
      </w:r>
      <w:r w:rsidR="00F84EB7">
        <w:t>for psychometry</w:t>
      </w:r>
      <w:r>
        <w:t xml:space="preserve"> is an essential requirement for cognitive profiling</w:t>
      </w:r>
      <w:r w:rsidR="00EB0A1F">
        <w:t xml:space="preserve">. </w:t>
      </w:r>
      <w:r>
        <w:t xml:space="preserve"> </w:t>
      </w:r>
    </w:p>
    <w:p w14:paraId="00D70963" w14:textId="548FBC4F" w:rsidR="007F5323" w:rsidRPr="0062356B" w:rsidRDefault="007F5323" w:rsidP="00922DBC">
      <w:pPr>
        <w:pStyle w:val="ListParagraph"/>
        <w:numPr>
          <w:ilvl w:val="0"/>
          <w:numId w:val="2"/>
        </w:numPr>
      </w:pPr>
      <w:r>
        <w:t>Access to neuropsychology and neuropsychiatry for MDT input into complex cases.</w:t>
      </w:r>
    </w:p>
    <w:p w14:paraId="4C9421C0" w14:textId="77777777" w:rsidR="00E20852" w:rsidRDefault="00E20852" w:rsidP="00E20852">
      <w:pPr>
        <w:pStyle w:val="ListParagraph"/>
        <w:numPr>
          <w:ilvl w:val="0"/>
          <w:numId w:val="2"/>
        </w:numPr>
      </w:pPr>
      <w:r>
        <w:t xml:space="preserve">Access to advanced imaging modalities such as PET-CT and CSF studies where appropriate. </w:t>
      </w:r>
    </w:p>
    <w:p w14:paraId="69DFA055" w14:textId="77777777" w:rsidR="00E20852" w:rsidRPr="0062356B" w:rsidRDefault="00E20852" w:rsidP="00E20852">
      <w:pPr>
        <w:pStyle w:val="ListParagraph"/>
      </w:pPr>
    </w:p>
    <w:p w14:paraId="5F96A75C" w14:textId="77777777" w:rsidR="0057131D" w:rsidRPr="0062356B" w:rsidRDefault="0057131D" w:rsidP="00922DBC">
      <w:pPr>
        <w:rPr>
          <w:rStyle w:val="Heading1Char"/>
          <w:rFonts w:ascii="Arial" w:hAnsi="Arial" w:cs="Arial"/>
          <w:b w:val="0"/>
          <w:bCs/>
          <w:sz w:val="22"/>
          <w:szCs w:val="22"/>
        </w:rPr>
      </w:pPr>
    </w:p>
    <w:p w14:paraId="7A70F43C" w14:textId="77777777" w:rsidR="007C39CA" w:rsidRPr="0062356B" w:rsidRDefault="007C39CA" w:rsidP="00922DBC">
      <w:pPr>
        <w:rPr>
          <w:rStyle w:val="Heading1Char"/>
          <w:rFonts w:ascii="Arial" w:hAnsi="Arial" w:cs="Arial"/>
          <w:sz w:val="22"/>
          <w:szCs w:val="22"/>
        </w:rPr>
      </w:pPr>
      <w:r w:rsidRPr="0062356B">
        <w:rPr>
          <w:rStyle w:val="Heading1Char"/>
          <w:rFonts w:ascii="Arial" w:hAnsi="Arial" w:cs="Arial"/>
          <w:sz w:val="22"/>
          <w:szCs w:val="22"/>
        </w:rPr>
        <w:br w:type="page"/>
      </w:r>
    </w:p>
    <w:p w14:paraId="550055B5" w14:textId="007F965F" w:rsidR="005005AB" w:rsidRPr="0062356B" w:rsidRDefault="00EB64CD" w:rsidP="00922DBC">
      <w:pPr>
        <w:pStyle w:val="Heading1"/>
      </w:pPr>
      <w:bookmarkStart w:id="7" w:name="_Toc183522792"/>
      <w:r>
        <w:rPr>
          <w:rStyle w:val="Heading1Char"/>
          <w:b/>
        </w:rPr>
        <w:lastRenderedPageBreak/>
        <w:t>H</w:t>
      </w:r>
      <w:r w:rsidR="0057131D" w:rsidRPr="0062356B">
        <w:rPr>
          <w:rStyle w:val="Heading1Char"/>
          <w:b/>
        </w:rPr>
        <w:t>eadache service</w:t>
      </w:r>
      <w:r>
        <w:rPr>
          <w:rStyle w:val="Heading1Char"/>
          <w:b/>
        </w:rPr>
        <w:t>s</w:t>
      </w:r>
      <w:bookmarkEnd w:id="7"/>
    </w:p>
    <w:p w14:paraId="4FDEFCAA" w14:textId="77777777" w:rsidR="005005AB" w:rsidRPr="0062356B" w:rsidRDefault="005005AB" w:rsidP="00922DBC"/>
    <w:p w14:paraId="037EB6E1" w14:textId="5F5784A4" w:rsidR="005005AB" w:rsidRPr="0062356B" w:rsidRDefault="005005AB" w:rsidP="00922DBC">
      <w:r w:rsidRPr="0062356B">
        <w:t>Headache is</w:t>
      </w:r>
      <w:r w:rsidR="0062356B">
        <w:t xml:space="preserve"> the commonest neurological presentation</w:t>
      </w:r>
      <w:r w:rsidR="00D1205E">
        <w:t>. H</w:t>
      </w:r>
      <w:r w:rsidR="0062356B">
        <w:t xml:space="preserve">eadache assessment and treatment </w:t>
      </w:r>
      <w:r w:rsidR="00D1205E">
        <w:t xml:space="preserve">for common headache disorders such as migraine, </w:t>
      </w:r>
      <w:r w:rsidR="00D701BF" w:rsidRPr="0062356B">
        <w:t xml:space="preserve">should be undertaken </w:t>
      </w:r>
      <w:r w:rsidR="00D1205E">
        <w:t xml:space="preserve">jointly between primary and </w:t>
      </w:r>
      <w:r w:rsidR="005007D6" w:rsidRPr="0062356B">
        <w:t>secondary care, through ICB-commissioned services.</w:t>
      </w:r>
    </w:p>
    <w:p w14:paraId="6D1A2B4F" w14:textId="13905241" w:rsidR="005007D6" w:rsidRPr="00892EF0" w:rsidRDefault="005005AB" w:rsidP="00922DBC">
      <w:pPr>
        <w:rPr>
          <w:b/>
          <w:bCs/>
        </w:rPr>
      </w:pPr>
      <w:r w:rsidRPr="00892EF0">
        <w:rPr>
          <w:b/>
          <w:bCs/>
        </w:rPr>
        <w:t>Core</w:t>
      </w:r>
      <w:r w:rsidR="00D701BF" w:rsidRPr="00892EF0">
        <w:rPr>
          <w:b/>
          <w:bCs/>
        </w:rPr>
        <w:t xml:space="preserve"> headache care </w:t>
      </w:r>
      <w:r w:rsidR="005007D6" w:rsidRPr="00892EF0">
        <w:rPr>
          <w:b/>
          <w:bCs/>
        </w:rPr>
        <w:t>services</w:t>
      </w:r>
      <w:r w:rsidR="00D1205E" w:rsidRPr="00892EF0">
        <w:rPr>
          <w:b/>
          <w:bCs/>
        </w:rPr>
        <w:t xml:space="preserve">, commissioned by </w:t>
      </w:r>
      <w:r w:rsidR="002D49E9">
        <w:rPr>
          <w:b/>
          <w:bCs/>
        </w:rPr>
        <w:t>Integrated Care System</w:t>
      </w:r>
      <w:r w:rsidR="00D1205E" w:rsidRPr="00892EF0">
        <w:rPr>
          <w:b/>
          <w:bCs/>
        </w:rPr>
        <w:t xml:space="preserve">s </w:t>
      </w:r>
    </w:p>
    <w:p w14:paraId="09E10BF5" w14:textId="5F83FFC2" w:rsidR="005005AB" w:rsidRPr="0062356B" w:rsidRDefault="0062356B" w:rsidP="00922DBC">
      <w:r>
        <w:t>This i</w:t>
      </w:r>
      <w:r w:rsidR="00D701BF" w:rsidRPr="0062356B">
        <w:t xml:space="preserve">ncludes </w:t>
      </w:r>
      <w:r w:rsidR="005005AB" w:rsidRPr="0062356B">
        <w:t xml:space="preserve">many treatments that are not specialised and should be available to patients in all </w:t>
      </w:r>
      <w:r w:rsidR="002D49E9">
        <w:t>Integrated Care System</w:t>
      </w:r>
      <w:r w:rsidR="005005AB" w:rsidRPr="0062356B">
        <w:t>s in line with existing NICE guidance</w:t>
      </w:r>
      <w:r w:rsidR="00892EF0">
        <w:t xml:space="preserve"> and technology appraisals</w:t>
      </w:r>
      <w:r w:rsidR="00D1205E">
        <w:t xml:space="preserve">. These may be delivered through </w:t>
      </w:r>
      <w:r w:rsidR="00892EF0">
        <w:t xml:space="preserve">primary care, </w:t>
      </w:r>
      <w:r w:rsidR="00D1205E">
        <w:t xml:space="preserve">secondary care neurology services or intermediate services such as GP with extended role clinics or community </w:t>
      </w:r>
      <w:r w:rsidR="00892EF0">
        <w:t>headache clinics</w:t>
      </w:r>
      <w:r w:rsidR="00D1205E">
        <w:t xml:space="preserve">. </w:t>
      </w:r>
    </w:p>
    <w:p w14:paraId="32528F5E" w14:textId="07F19EE0" w:rsidR="005005AB" w:rsidRPr="0062356B" w:rsidRDefault="005005AB" w:rsidP="00922DBC">
      <w:pPr>
        <w:pStyle w:val="ListParagraph"/>
        <w:numPr>
          <w:ilvl w:val="0"/>
          <w:numId w:val="2"/>
        </w:numPr>
      </w:pPr>
      <w:r w:rsidRPr="0062356B">
        <w:t>Diagnosis and management of headache disorders</w:t>
      </w:r>
    </w:p>
    <w:p w14:paraId="57BA5286" w14:textId="1DC72B1A" w:rsidR="005005AB" w:rsidRPr="0062356B" w:rsidRDefault="005005AB" w:rsidP="00922DBC">
      <w:pPr>
        <w:pStyle w:val="ListParagraph"/>
        <w:numPr>
          <w:ilvl w:val="0"/>
          <w:numId w:val="2"/>
        </w:numPr>
      </w:pPr>
      <w:r w:rsidRPr="0062356B">
        <w:t>Cranial nerve blockade</w:t>
      </w:r>
    </w:p>
    <w:p w14:paraId="6BC11E0C" w14:textId="5000151B" w:rsidR="005005AB" w:rsidRPr="0062356B" w:rsidRDefault="005005AB" w:rsidP="00922DBC">
      <w:pPr>
        <w:pStyle w:val="ListParagraph"/>
        <w:numPr>
          <w:ilvl w:val="0"/>
          <w:numId w:val="2"/>
        </w:numPr>
      </w:pPr>
      <w:r w:rsidRPr="0062356B">
        <w:t>Botulinum toxin therapy for Mìgraine</w:t>
      </w:r>
    </w:p>
    <w:p w14:paraId="7FEDDD1C" w14:textId="4F240759" w:rsidR="005005AB" w:rsidRPr="0062356B" w:rsidRDefault="005005AB" w:rsidP="00922DBC">
      <w:pPr>
        <w:pStyle w:val="ListParagraph"/>
        <w:numPr>
          <w:ilvl w:val="0"/>
          <w:numId w:val="2"/>
        </w:numPr>
      </w:pPr>
      <w:r w:rsidRPr="0062356B">
        <w:t xml:space="preserve">Access to advanced therapies for the management of </w:t>
      </w:r>
      <w:r w:rsidR="0062356B">
        <w:t xml:space="preserve">refractory </w:t>
      </w:r>
      <w:r w:rsidRPr="0062356B">
        <w:t xml:space="preserve">migraine including CGRP therapies. </w:t>
      </w:r>
    </w:p>
    <w:p w14:paraId="72EF4084" w14:textId="7F227BF1" w:rsidR="005005AB" w:rsidRPr="0062356B" w:rsidRDefault="005005AB" w:rsidP="00922DBC">
      <w:pPr>
        <w:pStyle w:val="ListParagraph"/>
        <w:numPr>
          <w:ilvl w:val="0"/>
          <w:numId w:val="2"/>
        </w:numPr>
      </w:pPr>
      <w:r w:rsidRPr="0062356B">
        <w:t>Specialist MSK physiotherapy</w:t>
      </w:r>
      <w:r w:rsidR="00D701BF" w:rsidRPr="0062356B">
        <w:t xml:space="preserve"> where appropriate</w:t>
      </w:r>
    </w:p>
    <w:p w14:paraId="30D70C9A" w14:textId="23B6E239" w:rsidR="005007D6" w:rsidRPr="00892EF0" w:rsidRDefault="005007D6" w:rsidP="00922DBC">
      <w:pPr>
        <w:rPr>
          <w:b/>
          <w:bCs/>
        </w:rPr>
      </w:pPr>
      <w:r w:rsidRPr="00892EF0">
        <w:rPr>
          <w:b/>
          <w:bCs/>
        </w:rPr>
        <w:t>Specialised complex headache services:</w:t>
      </w:r>
    </w:p>
    <w:p w14:paraId="74D53AA3" w14:textId="33378736" w:rsidR="00490ACB" w:rsidRPr="0062356B" w:rsidRDefault="005005AB" w:rsidP="00922DBC">
      <w:r w:rsidRPr="0062356B">
        <w:t>Regional tertiary complex headache clinics should be available to support diagnosis and management of rare or complex / refractory headache disorders</w:t>
      </w:r>
      <w:r w:rsidR="005007D6" w:rsidRPr="0062356B">
        <w:t xml:space="preserve">. </w:t>
      </w:r>
    </w:p>
    <w:p w14:paraId="0A40C16F" w14:textId="23E75FA4" w:rsidR="00EB18F2" w:rsidRPr="0062356B" w:rsidRDefault="005007D6" w:rsidP="00922DBC">
      <w:r w:rsidRPr="0062356B">
        <w:t>Examples would include:</w:t>
      </w:r>
    </w:p>
    <w:p w14:paraId="72AEC4E3" w14:textId="77777777" w:rsidR="0062356B" w:rsidRPr="0062356B" w:rsidRDefault="0062356B" w:rsidP="00922DBC">
      <w:pPr>
        <w:pStyle w:val="ListParagraph"/>
        <w:numPr>
          <w:ilvl w:val="0"/>
          <w:numId w:val="2"/>
        </w:numPr>
      </w:pPr>
      <w:r w:rsidRPr="0062356B">
        <w:t>Headaches with significant diagnostic uncertainty after general neurology review</w:t>
      </w:r>
    </w:p>
    <w:p w14:paraId="646E9B8E" w14:textId="4F5CDDEC" w:rsidR="005007D6" w:rsidRPr="0062356B" w:rsidRDefault="005007D6" w:rsidP="00922DBC">
      <w:pPr>
        <w:pStyle w:val="ListParagraph"/>
        <w:numPr>
          <w:ilvl w:val="0"/>
          <w:numId w:val="2"/>
        </w:numPr>
      </w:pPr>
      <w:r w:rsidRPr="0062356B">
        <w:t>Refractory trigeminal autonomic cephalalgias</w:t>
      </w:r>
    </w:p>
    <w:p w14:paraId="349A7A1E" w14:textId="3A512BC9" w:rsidR="005007D6" w:rsidRPr="0062356B" w:rsidRDefault="005007D6" w:rsidP="00922DBC">
      <w:pPr>
        <w:pStyle w:val="ListParagraph"/>
        <w:numPr>
          <w:ilvl w:val="0"/>
          <w:numId w:val="2"/>
        </w:numPr>
      </w:pPr>
      <w:r w:rsidRPr="0062356B">
        <w:t>Refractory idiopathic intracranial hypertension</w:t>
      </w:r>
    </w:p>
    <w:p w14:paraId="2BD93B1D" w14:textId="1E17B5C1" w:rsidR="005007D6" w:rsidRPr="0062356B" w:rsidRDefault="005007D6" w:rsidP="00922DBC">
      <w:pPr>
        <w:pStyle w:val="ListParagraph"/>
        <w:numPr>
          <w:ilvl w:val="0"/>
          <w:numId w:val="2"/>
        </w:numPr>
      </w:pPr>
      <w:r w:rsidRPr="0062356B">
        <w:t xml:space="preserve">Chronic migraine refractory to treatment with </w:t>
      </w:r>
      <w:r w:rsidR="0062356B">
        <w:t xml:space="preserve">CGRP therapies or Botulinum toxin </w:t>
      </w:r>
      <w:r w:rsidR="006C419E">
        <w:t>therapy</w:t>
      </w:r>
    </w:p>
    <w:p w14:paraId="4659D5C8" w14:textId="22986B95" w:rsidR="005007D6" w:rsidRDefault="005007D6" w:rsidP="00922DBC">
      <w:pPr>
        <w:pStyle w:val="ListParagraph"/>
        <w:numPr>
          <w:ilvl w:val="0"/>
          <w:numId w:val="2"/>
        </w:numPr>
      </w:pPr>
      <w:r w:rsidRPr="0062356B">
        <w:t>Joint care for complex facial pain (with pain, maxillofacial and neurosurgery services)</w:t>
      </w:r>
    </w:p>
    <w:p w14:paraId="4152C4C4" w14:textId="37E8E0C6" w:rsidR="00AC4AFC" w:rsidRDefault="00AC4AFC" w:rsidP="00AA06A1">
      <w:pPr>
        <w:pStyle w:val="ListParagraph"/>
        <w:numPr>
          <w:ilvl w:val="0"/>
          <w:numId w:val="2"/>
        </w:numPr>
      </w:pPr>
      <w:r>
        <w:t xml:space="preserve">Neurosurgical support where </w:t>
      </w:r>
      <w:r w:rsidR="006C419E">
        <w:t>required.</w:t>
      </w:r>
      <w:r w:rsidR="00490ACB">
        <w:t xml:space="preserve"> </w:t>
      </w:r>
    </w:p>
    <w:p w14:paraId="79EC7B62" w14:textId="77777777" w:rsidR="00490ACB" w:rsidRDefault="00490ACB" w:rsidP="00490ACB"/>
    <w:p w14:paraId="22CF5C8E" w14:textId="77777777" w:rsidR="00490ACB" w:rsidRDefault="00490ACB" w:rsidP="00490ACB">
      <w:r>
        <w:t xml:space="preserve">Services should also provide: </w:t>
      </w:r>
    </w:p>
    <w:p w14:paraId="56DDC3EB" w14:textId="77777777" w:rsidR="00490ACB" w:rsidRDefault="00490ACB" w:rsidP="00490ACB">
      <w:pPr>
        <w:pStyle w:val="ListParagraph"/>
        <w:numPr>
          <w:ilvl w:val="0"/>
          <w:numId w:val="2"/>
        </w:numPr>
      </w:pPr>
      <w:r>
        <w:t xml:space="preserve">Access to neurogenetic testing </w:t>
      </w:r>
    </w:p>
    <w:p w14:paraId="4B6EB4AF" w14:textId="59F27D62" w:rsidR="00490ACB" w:rsidRDefault="00490ACB" w:rsidP="00490ACB">
      <w:pPr>
        <w:pStyle w:val="ListParagraph"/>
        <w:numPr>
          <w:ilvl w:val="0"/>
          <w:numId w:val="2"/>
        </w:numPr>
      </w:pPr>
      <w:r>
        <w:t>Access to clinical trials</w:t>
      </w:r>
    </w:p>
    <w:p w14:paraId="74D976EF" w14:textId="77777777" w:rsidR="00490ACB" w:rsidRDefault="00490ACB" w:rsidP="00253EC9">
      <w:pPr>
        <w:pStyle w:val="ListParagraph"/>
      </w:pPr>
    </w:p>
    <w:p w14:paraId="14250BED" w14:textId="77777777" w:rsidR="0062356B" w:rsidRPr="00892EF0" w:rsidRDefault="0062356B" w:rsidP="00922DBC">
      <w:pPr>
        <w:rPr>
          <w:b/>
          <w:bCs/>
        </w:rPr>
      </w:pPr>
      <w:r w:rsidRPr="00892EF0">
        <w:rPr>
          <w:b/>
          <w:bCs/>
        </w:rPr>
        <w:t>Quarternary headache services</w:t>
      </w:r>
    </w:p>
    <w:p w14:paraId="73DC604E" w14:textId="77777777" w:rsidR="00CF76E3" w:rsidRDefault="0062356B" w:rsidP="00922DBC">
      <w:r>
        <w:t xml:space="preserve">A </w:t>
      </w:r>
      <w:r w:rsidR="00892EF0">
        <w:t xml:space="preserve">very </w:t>
      </w:r>
      <w:r>
        <w:t xml:space="preserve">small number of </w:t>
      </w:r>
      <w:r w:rsidR="00892EF0">
        <w:t xml:space="preserve">headache </w:t>
      </w:r>
      <w:r>
        <w:t xml:space="preserve">services need to be </w:t>
      </w:r>
      <w:r w:rsidR="00892EF0">
        <w:t>delivered</w:t>
      </w:r>
      <w:r>
        <w:t xml:space="preserve"> at </w:t>
      </w:r>
      <w:proofErr w:type="spellStart"/>
      <w:r>
        <w:t>supraregional</w:t>
      </w:r>
      <w:proofErr w:type="spellEnd"/>
      <w:r>
        <w:t xml:space="preserve"> level. </w:t>
      </w:r>
    </w:p>
    <w:p w14:paraId="539A7275" w14:textId="3E9BA381" w:rsidR="005007D6" w:rsidRDefault="00892EF0" w:rsidP="00922DBC">
      <w:r>
        <w:t>Examples include:</w:t>
      </w:r>
    </w:p>
    <w:p w14:paraId="797B71FC" w14:textId="5F5DE481" w:rsidR="0062356B" w:rsidRDefault="0062356B" w:rsidP="00922DBC">
      <w:pPr>
        <w:pStyle w:val="ListParagraph"/>
        <w:numPr>
          <w:ilvl w:val="0"/>
          <w:numId w:val="2"/>
        </w:numPr>
      </w:pPr>
      <w:r>
        <w:t>Invasive nerve stimulation such as occipital nerve stimulation</w:t>
      </w:r>
    </w:p>
    <w:p w14:paraId="0D11610A" w14:textId="70B7AD44" w:rsidR="0062356B" w:rsidRDefault="0062356B" w:rsidP="00922DBC">
      <w:pPr>
        <w:pStyle w:val="ListParagraph"/>
        <w:numPr>
          <w:ilvl w:val="0"/>
          <w:numId w:val="2"/>
        </w:numPr>
      </w:pPr>
      <w:r>
        <w:t xml:space="preserve">Management of </w:t>
      </w:r>
      <w:r w:rsidR="00892EF0">
        <w:t>refractory</w:t>
      </w:r>
      <w:r>
        <w:t xml:space="preserve"> spontaneous intracranial hypotension</w:t>
      </w:r>
    </w:p>
    <w:p w14:paraId="36AF3A80" w14:textId="77777777" w:rsidR="0062356B" w:rsidRPr="0062356B" w:rsidRDefault="0062356B" w:rsidP="00922DBC"/>
    <w:sectPr w:rsidR="0062356B" w:rsidRPr="0062356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BC926" w14:textId="77777777" w:rsidR="00EA33C3" w:rsidRDefault="00EA33C3" w:rsidP="00922DBC">
      <w:r>
        <w:separator/>
      </w:r>
    </w:p>
  </w:endnote>
  <w:endnote w:type="continuationSeparator" w:id="0">
    <w:p w14:paraId="64D8816E" w14:textId="77777777" w:rsidR="00EA33C3" w:rsidRDefault="00EA33C3" w:rsidP="00922DBC">
      <w:r>
        <w:continuationSeparator/>
      </w:r>
    </w:p>
  </w:endnote>
  <w:endnote w:type="continuationNotice" w:id="1">
    <w:p w14:paraId="1868BD92" w14:textId="77777777" w:rsidR="00EA33C3" w:rsidRDefault="00EA33C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869681"/>
      <w:docPartObj>
        <w:docPartGallery w:val="Page Numbers (Bottom of Page)"/>
        <w:docPartUnique/>
      </w:docPartObj>
    </w:sdtPr>
    <w:sdtContent>
      <w:p w14:paraId="24E1C2DA" w14:textId="2D28B105" w:rsidR="00DB2389" w:rsidRDefault="00DB238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F1E">
          <w:rPr>
            <w:noProof/>
          </w:rPr>
          <w:t>9</w:t>
        </w:r>
        <w:r>
          <w:fldChar w:fldCharType="end"/>
        </w:r>
      </w:p>
    </w:sdtContent>
  </w:sdt>
  <w:p w14:paraId="4948F0EE" w14:textId="77777777" w:rsidR="00D83377" w:rsidRDefault="00D83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F632D" w14:textId="77777777" w:rsidR="00EA33C3" w:rsidRDefault="00EA33C3" w:rsidP="00922DBC">
      <w:r>
        <w:separator/>
      </w:r>
    </w:p>
  </w:footnote>
  <w:footnote w:type="continuationSeparator" w:id="0">
    <w:p w14:paraId="602CBB36" w14:textId="77777777" w:rsidR="00EA33C3" w:rsidRDefault="00EA33C3" w:rsidP="00922DBC">
      <w:r>
        <w:continuationSeparator/>
      </w:r>
    </w:p>
  </w:footnote>
  <w:footnote w:type="continuationNotice" w:id="1">
    <w:p w14:paraId="1CBECDE4" w14:textId="77777777" w:rsidR="00EA33C3" w:rsidRDefault="00EA33C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F2BD1"/>
    <w:multiLevelType w:val="multilevel"/>
    <w:tmpl w:val="6A8A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A0F17"/>
    <w:multiLevelType w:val="hybridMultilevel"/>
    <w:tmpl w:val="4D1A4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138C9"/>
    <w:multiLevelType w:val="hybridMultilevel"/>
    <w:tmpl w:val="4F2CA9B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076BA7"/>
    <w:multiLevelType w:val="hybridMultilevel"/>
    <w:tmpl w:val="F20A2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D6AC4"/>
    <w:multiLevelType w:val="multilevel"/>
    <w:tmpl w:val="828E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147084"/>
    <w:multiLevelType w:val="multilevel"/>
    <w:tmpl w:val="0DEC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8241F2"/>
    <w:multiLevelType w:val="multilevel"/>
    <w:tmpl w:val="2D40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A412E"/>
    <w:multiLevelType w:val="hybridMultilevel"/>
    <w:tmpl w:val="A656D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D392A"/>
    <w:multiLevelType w:val="hybridMultilevel"/>
    <w:tmpl w:val="5FE43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8328E"/>
    <w:multiLevelType w:val="multilevel"/>
    <w:tmpl w:val="7C68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F17348"/>
    <w:multiLevelType w:val="multilevel"/>
    <w:tmpl w:val="B004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2878105">
    <w:abstractNumId w:val="0"/>
  </w:num>
  <w:num w:numId="2" w16cid:durableId="93523805">
    <w:abstractNumId w:val="5"/>
  </w:num>
  <w:num w:numId="3" w16cid:durableId="482505217">
    <w:abstractNumId w:val="4"/>
  </w:num>
  <w:num w:numId="4" w16cid:durableId="2120448032">
    <w:abstractNumId w:val="1"/>
  </w:num>
  <w:num w:numId="5" w16cid:durableId="745030706">
    <w:abstractNumId w:val="8"/>
  </w:num>
  <w:num w:numId="6" w16cid:durableId="482552529">
    <w:abstractNumId w:val="3"/>
  </w:num>
  <w:num w:numId="7" w16cid:durableId="475613164">
    <w:abstractNumId w:val="2"/>
  </w:num>
  <w:num w:numId="8" w16cid:durableId="1845822429">
    <w:abstractNumId w:val="10"/>
  </w:num>
  <w:num w:numId="9" w16cid:durableId="390426832">
    <w:abstractNumId w:val="9"/>
  </w:num>
  <w:num w:numId="10" w16cid:durableId="1217082054">
    <w:abstractNumId w:val="7"/>
  </w:num>
  <w:num w:numId="11" w16cid:durableId="11951223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16"/>
    <w:rsid w:val="0002330A"/>
    <w:rsid w:val="00043ED3"/>
    <w:rsid w:val="00045C3F"/>
    <w:rsid w:val="00056402"/>
    <w:rsid w:val="00056F71"/>
    <w:rsid w:val="000642AB"/>
    <w:rsid w:val="0007236B"/>
    <w:rsid w:val="00072F9A"/>
    <w:rsid w:val="00072FEB"/>
    <w:rsid w:val="000A787C"/>
    <w:rsid w:val="000C08F2"/>
    <w:rsid w:val="000E03B2"/>
    <w:rsid w:val="000E1130"/>
    <w:rsid w:val="000F36C2"/>
    <w:rsid w:val="00100E7E"/>
    <w:rsid w:val="0010235A"/>
    <w:rsid w:val="0010595E"/>
    <w:rsid w:val="0012279E"/>
    <w:rsid w:val="00123039"/>
    <w:rsid w:val="001404C6"/>
    <w:rsid w:val="0014568A"/>
    <w:rsid w:val="00171231"/>
    <w:rsid w:val="00180119"/>
    <w:rsid w:val="001A137D"/>
    <w:rsid w:val="001A7057"/>
    <w:rsid w:val="001C2CE2"/>
    <w:rsid w:val="001D448A"/>
    <w:rsid w:val="001D62A0"/>
    <w:rsid w:val="001F57CE"/>
    <w:rsid w:val="002063FC"/>
    <w:rsid w:val="0024370B"/>
    <w:rsid w:val="00251112"/>
    <w:rsid w:val="00253EC9"/>
    <w:rsid w:val="00265B57"/>
    <w:rsid w:val="002666DD"/>
    <w:rsid w:val="002A0064"/>
    <w:rsid w:val="002A0D4A"/>
    <w:rsid w:val="002A68F1"/>
    <w:rsid w:val="002B35D6"/>
    <w:rsid w:val="002D49E9"/>
    <w:rsid w:val="002E05CF"/>
    <w:rsid w:val="002E293A"/>
    <w:rsid w:val="002E78EF"/>
    <w:rsid w:val="00306FB0"/>
    <w:rsid w:val="0031001D"/>
    <w:rsid w:val="00346D84"/>
    <w:rsid w:val="00356ABA"/>
    <w:rsid w:val="003644A6"/>
    <w:rsid w:val="003741A7"/>
    <w:rsid w:val="00390239"/>
    <w:rsid w:val="003965CA"/>
    <w:rsid w:val="003B10ED"/>
    <w:rsid w:val="003B16B8"/>
    <w:rsid w:val="003B3DB9"/>
    <w:rsid w:val="003E1D7E"/>
    <w:rsid w:val="003E7406"/>
    <w:rsid w:val="003F7392"/>
    <w:rsid w:val="004065DF"/>
    <w:rsid w:val="0041432B"/>
    <w:rsid w:val="00426459"/>
    <w:rsid w:val="00452FEF"/>
    <w:rsid w:val="00457F41"/>
    <w:rsid w:val="00466049"/>
    <w:rsid w:val="00482916"/>
    <w:rsid w:val="00490ACB"/>
    <w:rsid w:val="0049211C"/>
    <w:rsid w:val="004A04C9"/>
    <w:rsid w:val="004E5011"/>
    <w:rsid w:val="005005AB"/>
    <w:rsid w:val="005007D6"/>
    <w:rsid w:val="00527C38"/>
    <w:rsid w:val="00534B72"/>
    <w:rsid w:val="00555D64"/>
    <w:rsid w:val="0057131D"/>
    <w:rsid w:val="00571C27"/>
    <w:rsid w:val="005803C3"/>
    <w:rsid w:val="0058156A"/>
    <w:rsid w:val="00581E9B"/>
    <w:rsid w:val="005C32C1"/>
    <w:rsid w:val="005C7749"/>
    <w:rsid w:val="005F4AC5"/>
    <w:rsid w:val="0062356B"/>
    <w:rsid w:val="0062387A"/>
    <w:rsid w:val="00633AB8"/>
    <w:rsid w:val="00674565"/>
    <w:rsid w:val="00677B2D"/>
    <w:rsid w:val="00684CC0"/>
    <w:rsid w:val="006B03EF"/>
    <w:rsid w:val="006B54E8"/>
    <w:rsid w:val="006C419E"/>
    <w:rsid w:val="006D0D84"/>
    <w:rsid w:val="006E26F4"/>
    <w:rsid w:val="007325F8"/>
    <w:rsid w:val="007426F9"/>
    <w:rsid w:val="007441CE"/>
    <w:rsid w:val="00762893"/>
    <w:rsid w:val="0076459B"/>
    <w:rsid w:val="00764CBD"/>
    <w:rsid w:val="00787E32"/>
    <w:rsid w:val="00792AE6"/>
    <w:rsid w:val="007A3207"/>
    <w:rsid w:val="007C113A"/>
    <w:rsid w:val="007C39CA"/>
    <w:rsid w:val="007D3F7A"/>
    <w:rsid w:val="007E7F13"/>
    <w:rsid w:val="007F5323"/>
    <w:rsid w:val="008202C8"/>
    <w:rsid w:val="00837DC5"/>
    <w:rsid w:val="00840F1E"/>
    <w:rsid w:val="008734B8"/>
    <w:rsid w:val="00892EF0"/>
    <w:rsid w:val="00894ECF"/>
    <w:rsid w:val="008A1F99"/>
    <w:rsid w:val="008C32ED"/>
    <w:rsid w:val="008D05EE"/>
    <w:rsid w:val="008E682B"/>
    <w:rsid w:val="008E6A2F"/>
    <w:rsid w:val="008F273F"/>
    <w:rsid w:val="009002AD"/>
    <w:rsid w:val="009157D8"/>
    <w:rsid w:val="00922DBC"/>
    <w:rsid w:val="0093157A"/>
    <w:rsid w:val="00932F53"/>
    <w:rsid w:val="00935CD5"/>
    <w:rsid w:val="00950B1C"/>
    <w:rsid w:val="00964C3B"/>
    <w:rsid w:val="0097142E"/>
    <w:rsid w:val="00972CE3"/>
    <w:rsid w:val="00974E20"/>
    <w:rsid w:val="0097787B"/>
    <w:rsid w:val="00996E08"/>
    <w:rsid w:val="009A7E46"/>
    <w:rsid w:val="009C096F"/>
    <w:rsid w:val="009C10E0"/>
    <w:rsid w:val="009C7862"/>
    <w:rsid w:val="009E7EDE"/>
    <w:rsid w:val="00A03294"/>
    <w:rsid w:val="00A478E6"/>
    <w:rsid w:val="00A906C0"/>
    <w:rsid w:val="00AB5BBB"/>
    <w:rsid w:val="00AC2A2E"/>
    <w:rsid w:val="00AC4AFC"/>
    <w:rsid w:val="00AC5EF4"/>
    <w:rsid w:val="00AE6A4D"/>
    <w:rsid w:val="00B161C1"/>
    <w:rsid w:val="00B740BA"/>
    <w:rsid w:val="00B7773C"/>
    <w:rsid w:val="00B819A7"/>
    <w:rsid w:val="00B84348"/>
    <w:rsid w:val="00BA02B9"/>
    <w:rsid w:val="00BA0B8A"/>
    <w:rsid w:val="00BA1217"/>
    <w:rsid w:val="00BF7822"/>
    <w:rsid w:val="00C05BA0"/>
    <w:rsid w:val="00C10D8F"/>
    <w:rsid w:val="00C22523"/>
    <w:rsid w:val="00C446B6"/>
    <w:rsid w:val="00C60144"/>
    <w:rsid w:val="00C702FC"/>
    <w:rsid w:val="00C8460C"/>
    <w:rsid w:val="00CA475E"/>
    <w:rsid w:val="00CA6A20"/>
    <w:rsid w:val="00CB6054"/>
    <w:rsid w:val="00CF76E3"/>
    <w:rsid w:val="00D1205E"/>
    <w:rsid w:val="00D160A8"/>
    <w:rsid w:val="00D5060C"/>
    <w:rsid w:val="00D701BF"/>
    <w:rsid w:val="00D83377"/>
    <w:rsid w:val="00DB2389"/>
    <w:rsid w:val="00DC098E"/>
    <w:rsid w:val="00DC1336"/>
    <w:rsid w:val="00DD4EEB"/>
    <w:rsid w:val="00DE2BC0"/>
    <w:rsid w:val="00DE4535"/>
    <w:rsid w:val="00E206E8"/>
    <w:rsid w:val="00E20852"/>
    <w:rsid w:val="00E436C3"/>
    <w:rsid w:val="00E56454"/>
    <w:rsid w:val="00E84546"/>
    <w:rsid w:val="00E85953"/>
    <w:rsid w:val="00EA33C3"/>
    <w:rsid w:val="00EB0A1F"/>
    <w:rsid w:val="00EB18F2"/>
    <w:rsid w:val="00EB64CD"/>
    <w:rsid w:val="00ED28FB"/>
    <w:rsid w:val="00EE0543"/>
    <w:rsid w:val="00EE4C5F"/>
    <w:rsid w:val="00EE60F1"/>
    <w:rsid w:val="00F04853"/>
    <w:rsid w:val="00F0621B"/>
    <w:rsid w:val="00F6024F"/>
    <w:rsid w:val="00F84EB7"/>
    <w:rsid w:val="00F85E08"/>
    <w:rsid w:val="00FA640F"/>
    <w:rsid w:val="00FB5FCC"/>
    <w:rsid w:val="00FD4414"/>
    <w:rsid w:val="00FD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F7388"/>
  <w15:chartTrackingRefBased/>
  <w15:docId w15:val="{188E013D-0C65-4323-A186-791D500E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DBC"/>
    <w:pPr>
      <w:spacing w:after="120" w:line="240" w:lineRule="auto"/>
      <w:textAlignment w:val="baseline"/>
    </w:pPr>
    <w:rPr>
      <w:rFonts w:ascii="Arial" w:eastAsia="Times New Roman" w:hAnsi="Arial" w:cs="Arial"/>
      <w:color w:val="000000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02060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2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4C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2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C5F"/>
    <w:rPr>
      <w:rFonts w:asciiTheme="majorHAnsi" w:eastAsiaTheme="majorEastAsia" w:hAnsiTheme="majorHAnsi" w:cstheme="majorBidi"/>
      <w:b/>
      <w:color w:val="002060"/>
      <w:kern w:val="0"/>
      <w:sz w:val="32"/>
      <w:szCs w:val="4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82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E4C5F"/>
    <w:rPr>
      <w:rFonts w:ascii="Arial" w:eastAsiaTheme="majorEastAsia" w:hAnsi="Arial" w:cstheme="majorBidi"/>
      <w:color w:val="0F4761" w:themeColor="accent1" w:themeShade="BF"/>
      <w:kern w:val="0"/>
      <w:sz w:val="24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4829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9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9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9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9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9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9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916"/>
    <w:rPr>
      <w:i/>
      <w:iCs/>
      <w:color w:val="404040" w:themeColor="text1" w:themeTint="BF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,L"/>
    <w:basedOn w:val="Normal"/>
    <w:link w:val="ListParagraphChar"/>
    <w:uiPriority w:val="34"/>
    <w:qFormat/>
    <w:rsid w:val="004829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9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9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91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D05E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90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06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06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6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6C0"/>
    <w:rPr>
      <w:b/>
      <w:bCs/>
      <w:sz w:val="20"/>
      <w:szCs w:val="20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basedOn w:val="DefaultParagraphFont"/>
    <w:link w:val="ListParagraph"/>
    <w:uiPriority w:val="34"/>
    <w:qFormat/>
    <w:locked/>
    <w:rsid w:val="00792AE6"/>
  </w:style>
  <w:style w:type="character" w:styleId="Hyperlink">
    <w:name w:val="Hyperlink"/>
    <w:basedOn w:val="DefaultParagraphFont"/>
    <w:uiPriority w:val="99"/>
    <w:unhideWhenUsed/>
    <w:rsid w:val="0057131D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131D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57131D"/>
    <w:pPr>
      <w:spacing w:before="240" w:after="0"/>
      <w:outlineLvl w:val="9"/>
    </w:pPr>
    <w:rPr>
      <w:b w:val="0"/>
      <w:color w:val="0F4761" w:themeColor="accent1" w:themeShade="BF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7131D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6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156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85E08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337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83377"/>
    <w:rPr>
      <w:rFonts w:ascii="Arial" w:eastAsia="Times New Roman" w:hAnsi="Arial" w:cs="Arial"/>
      <w:color w:val="000000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337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83377"/>
    <w:rPr>
      <w:rFonts w:ascii="Arial" w:eastAsia="Times New Roman" w:hAnsi="Arial" w:cs="Arial"/>
      <w:color w:val="000000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D83377"/>
    <w:pPr>
      <w:spacing w:after="0" w:line="240" w:lineRule="auto"/>
    </w:pPr>
    <w:rPr>
      <w:rFonts w:ascii="Arial" w:eastAsia="Times New Roman" w:hAnsi="Arial" w:cs="Arial"/>
      <w:color w:val="000000"/>
      <w:kern w:val="0"/>
      <w:lang w:eastAsia="en-GB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9002AD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40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40F"/>
    <w:rPr>
      <w:rFonts w:ascii="Segoe UI" w:eastAsia="Times New Roman" w:hAnsi="Segoe UI" w:cs="Segoe UI"/>
      <w:color w:val="000000"/>
      <w:kern w:val="0"/>
      <w:sz w:val="18"/>
      <w:szCs w:val="1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qs211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11AFE6FCB0054B8A4D4D7DF887990C" ma:contentTypeVersion="23" ma:contentTypeDescription="Create a new document." ma:contentTypeScope="" ma:versionID="571620fd9a20238803574c7322bcef06">
  <xsd:schema xmlns:xsd="http://www.w3.org/2001/XMLSchema" xmlns:xs="http://www.w3.org/2001/XMLSchema" xmlns:p="http://schemas.microsoft.com/office/2006/metadata/properties" xmlns:ns1="http://schemas.microsoft.com/sharepoint/v3" xmlns:ns2="031ddfd9-3473-4739-9590-ff772c581e31" xmlns:ns3="c25116e1-2ef2-456f-9805-e56a20a943ff" targetNamespace="http://schemas.microsoft.com/office/2006/metadata/properties" ma:root="true" ma:fieldsID="a6cb7bd277d6fea0300606764e39e6d3" ns1:_="" ns2:_="" ns3:_="">
    <xsd:import namespace="http://schemas.microsoft.com/sharepoint/v3"/>
    <xsd:import namespace="031ddfd9-3473-4739-9590-ff772c581e31"/>
    <xsd:import namespace="c25116e1-2ef2-456f-9805-e56a20a94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ddfd9-3473-4739-9590-ff772c581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116e1-2ef2-456f-9805-e56a20a943f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57213c0-4583-4eab-9530-57dba5611869}" ma:internalName="TaxCatchAll" ma:showField="CatchAllData" ma:web="c25116e1-2ef2-456f-9805-e56a20a9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31ddfd9-3473-4739-9590-ff772c581e31">
      <Terms xmlns="http://schemas.microsoft.com/office/infopath/2007/PartnerControls"/>
    </lcf76f155ced4ddcb4097134ff3c332f>
    <TaxCatchAll xmlns="c25116e1-2ef2-456f-9805-e56a20a943ff" xsi:nil="true"/>
  </documentManagement>
</p:properties>
</file>

<file path=customXml/itemProps1.xml><?xml version="1.0" encoding="utf-8"?>
<ds:datastoreItem xmlns:ds="http://schemas.openxmlformats.org/officeDocument/2006/customXml" ds:itemID="{BDA4CB43-8B1E-496F-9032-51939DF686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287D8E-4B92-45D3-B433-0E91ABDD65A0}"/>
</file>

<file path=customXml/itemProps3.xml><?xml version="1.0" encoding="utf-8"?>
<ds:datastoreItem xmlns:ds="http://schemas.openxmlformats.org/officeDocument/2006/customXml" ds:itemID="{D42E6798-0A5A-4E5D-9659-B2BB26E6D40B}"/>
</file>

<file path=customXml/itemProps4.xml><?xml version="1.0" encoding="utf-8"?>
<ds:datastoreItem xmlns:ds="http://schemas.openxmlformats.org/officeDocument/2006/customXml" ds:itemID="{C8CEB9A5-DC57-4830-8016-8084FA67E20C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2971</Words>
  <Characters>16941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NOVAK, Marianne (KINGSTON HOSPITAL NHS FOUNDATION TRUST)</dc:creator>
  <cp:keywords/>
  <dc:description/>
  <cp:lastModifiedBy>BRENNAN, Carolyn (NHS ENGLAND - X24)</cp:lastModifiedBy>
  <cp:revision>25</cp:revision>
  <dcterms:created xsi:type="dcterms:W3CDTF">2024-12-11T08:27:00Z</dcterms:created>
  <dcterms:modified xsi:type="dcterms:W3CDTF">2024-12-16T16:00:00Z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0x0101008E11AFE6FCB0054B8A4D4D7DF887990C</vt:lpwstr>
  </property>
</Properties>
</file>